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Default="00E430AA" w:rsidP="00E430AA">
      <w:pPr>
        <w:pStyle w:val="Cm"/>
        <w:rPr>
          <w:u w:val="double"/>
        </w:rPr>
      </w:pPr>
    </w:p>
    <w:p w:rsidR="00473A3F" w:rsidRDefault="00473A3F" w:rsidP="00E430AA">
      <w:pPr>
        <w:pStyle w:val="Cm"/>
        <w:rPr>
          <w:u w:val="double"/>
        </w:rPr>
      </w:pPr>
    </w:p>
    <w:p w:rsidR="00473A3F" w:rsidRPr="006136BA" w:rsidRDefault="00473A3F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tabs>
          <w:tab w:val="left" w:pos="3045"/>
        </w:tabs>
        <w:jc w:val="left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473A3F" w:rsidP="00E430AA">
      <w:pPr>
        <w:pStyle w:val="Cm"/>
        <w:rPr>
          <w:u w:val="double"/>
        </w:rPr>
      </w:pPr>
      <w:r>
        <w:rPr>
          <w:noProof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37465</wp:posOffset>
            </wp:positionV>
            <wp:extent cx="1682115" cy="1939925"/>
            <wp:effectExtent l="1905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AA" w:rsidRPr="006136BA" w:rsidRDefault="00E430AA" w:rsidP="00E430AA">
      <w:pPr>
        <w:pStyle w:val="Cm"/>
        <w:rPr>
          <w:u w:val="double"/>
        </w:rPr>
      </w:pPr>
    </w:p>
    <w:p w:rsidR="00E430AA" w:rsidRPr="006136BA" w:rsidRDefault="00E430AA" w:rsidP="00E430AA">
      <w:pPr>
        <w:pStyle w:val="Cm"/>
        <w:rPr>
          <w:u w:val="double"/>
        </w:rPr>
      </w:pPr>
    </w:p>
    <w:p w:rsidR="00473A3F" w:rsidRDefault="00473A3F" w:rsidP="00E430AA">
      <w:pPr>
        <w:pStyle w:val="Cm"/>
        <w:spacing w:line="480" w:lineRule="auto"/>
        <w:rPr>
          <w:sz w:val="32"/>
          <w:szCs w:val="32"/>
        </w:rPr>
      </w:pPr>
    </w:p>
    <w:p w:rsidR="00473A3F" w:rsidRDefault="00473A3F" w:rsidP="00E430AA">
      <w:pPr>
        <w:pStyle w:val="Cm"/>
        <w:spacing w:line="480" w:lineRule="auto"/>
        <w:rPr>
          <w:sz w:val="32"/>
          <w:szCs w:val="32"/>
        </w:rPr>
      </w:pPr>
    </w:p>
    <w:p w:rsidR="00473A3F" w:rsidRDefault="00473A3F" w:rsidP="00E430AA">
      <w:pPr>
        <w:pStyle w:val="Cm"/>
        <w:spacing w:line="480" w:lineRule="auto"/>
        <w:rPr>
          <w:sz w:val="32"/>
          <w:szCs w:val="32"/>
        </w:rPr>
      </w:pPr>
    </w:p>
    <w:p w:rsidR="00473A3F" w:rsidRDefault="00473A3F" w:rsidP="00E430AA">
      <w:pPr>
        <w:pStyle w:val="Cm"/>
        <w:spacing w:line="480" w:lineRule="auto"/>
        <w:rPr>
          <w:sz w:val="40"/>
          <w:szCs w:val="40"/>
        </w:rPr>
      </w:pPr>
    </w:p>
    <w:p w:rsidR="00E430AA" w:rsidRPr="00473A3F" w:rsidRDefault="00E430AA" w:rsidP="00E430AA">
      <w:pPr>
        <w:pStyle w:val="Cm"/>
        <w:spacing w:line="480" w:lineRule="auto"/>
        <w:rPr>
          <w:sz w:val="40"/>
          <w:szCs w:val="40"/>
        </w:rPr>
      </w:pPr>
      <w:r w:rsidRPr="00473A3F">
        <w:rPr>
          <w:sz w:val="40"/>
          <w:szCs w:val="40"/>
        </w:rPr>
        <w:t>ÉVES BESZÁMOLÓ</w:t>
      </w:r>
    </w:p>
    <w:p w:rsidR="00E430AA" w:rsidRPr="006136BA" w:rsidRDefault="00E430AA" w:rsidP="00E430AA">
      <w:pPr>
        <w:pStyle w:val="Cm"/>
        <w:spacing w:line="480" w:lineRule="auto"/>
        <w:rPr>
          <w:iCs/>
          <w:sz w:val="32"/>
          <w:szCs w:val="32"/>
        </w:rPr>
      </w:pPr>
      <w:r w:rsidRPr="006136BA">
        <w:rPr>
          <w:iCs/>
          <w:sz w:val="32"/>
          <w:szCs w:val="32"/>
        </w:rPr>
        <w:t>az Eszterházy Károly Főiskola</w:t>
      </w:r>
    </w:p>
    <w:p w:rsidR="00E430AA" w:rsidRPr="006136BA" w:rsidRDefault="00E430AA" w:rsidP="00E430AA">
      <w:pPr>
        <w:pStyle w:val="Cm"/>
        <w:spacing w:line="480" w:lineRule="auto"/>
        <w:rPr>
          <w:sz w:val="32"/>
          <w:szCs w:val="32"/>
        </w:rPr>
      </w:pPr>
      <w:r w:rsidRPr="006136BA">
        <w:rPr>
          <w:sz w:val="32"/>
          <w:szCs w:val="32"/>
        </w:rPr>
        <w:t>2010. évi költségvetésének teljesítéséről</w:t>
      </w:r>
    </w:p>
    <w:p w:rsidR="00E430AA" w:rsidRPr="006136BA" w:rsidRDefault="00E430AA" w:rsidP="00E430AA"/>
    <w:p w:rsidR="00E430AA" w:rsidRPr="006136BA" w:rsidRDefault="00E430AA" w:rsidP="00E430AA"/>
    <w:p w:rsidR="00E430AA" w:rsidRPr="006136BA" w:rsidRDefault="00E430AA" w:rsidP="00E430AA">
      <w:pPr>
        <w:sectPr w:rsidR="00E430AA" w:rsidRPr="006136BA" w:rsidSect="00473A3F">
          <w:footerReference w:type="default" r:id="rId9"/>
          <w:pgSz w:w="11906" w:h="16838"/>
          <w:pgMar w:top="1440" w:right="1080" w:bottom="1440" w:left="1080" w:header="709" w:footer="709" w:gutter="0"/>
          <w:pgNumType w:start="1"/>
          <w:cols w:space="708"/>
          <w:docGrid w:linePitch="360"/>
        </w:sectPr>
      </w:pPr>
    </w:p>
    <w:p w:rsidR="00E430AA" w:rsidRPr="006136BA" w:rsidRDefault="00E430AA" w:rsidP="00F62251">
      <w:pPr>
        <w:pStyle w:val="Cmsor3"/>
        <w:numPr>
          <w:ilvl w:val="0"/>
          <w:numId w:val="22"/>
        </w:numPr>
        <w:tabs>
          <w:tab w:val="left" w:pos="708"/>
        </w:tabs>
        <w:spacing w:line="360" w:lineRule="auto"/>
        <w:jc w:val="both"/>
        <w:rPr>
          <w:caps/>
          <w:u w:val="single"/>
        </w:rPr>
      </w:pPr>
      <w:r w:rsidRPr="006136BA">
        <w:rPr>
          <w:caps/>
          <w:u w:val="single"/>
        </w:rPr>
        <w:lastRenderedPageBreak/>
        <w:t>feladatkör, tevékenység</w:t>
      </w: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  <w:rPr>
          <w:b/>
          <w:bCs/>
          <w:iCs/>
          <w:caps/>
        </w:rPr>
      </w:pP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  <w:rPr>
          <w:bCs/>
          <w:iCs/>
          <w:caps/>
        </w:rPr>
      </w:pPr>
      <w:r w:rsidRPr="006136BA">
        <w:rPr>
          <w:b/>
          <w:bCs/>
          <w:iCs/>
          <w:caps/>
        </w:rPr>
        <w:t xml:space="preserve">Intézmény neve: </w:t>
      </w:r>
      <w:r w:rsidRPr="006136BA">
        <w:rPr>
          <w:b/>
          <w:bCs/>
          <w:iCs/>
          <w:caps/>
        </w:rPr>
        <w:tab/>
      </w:r>
      <w:r w:rsidRPr="006136BA">
        <w:rPr>
          <w:bCs/>
          <w:iCs/>
          <w:caps/>
        </w:rPr>
        <w:t>Eszterházy Károly Főiskola</w:t>
      </w: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  <w:rPr>
          <w:bCs/>
          <w:iCs/>
          <w:caps/>
        </w:rPr>
      </w:pPr>
      <w:r w:rsidRPr="006136BA">
        <w:rPr>
          <w:b/>
          <w:bCs/>
          <w:iCs/>
          <w:caps/>
        </w:rPr>
        <w:t xml:space="preserve">Címe: </w:t>
      </w:r>
      <w:r w:rsidRPr="006136BA">
        <w:rPr>
          <w:b/>
          <w:bCs/>
          <w:iCs/>
          <w:caps/>
        </w:rPr>
        <w:tab/>
      </w:r>
      <w:r w:rsidRPr="006136BA">
        <w:rPr>
          <w:bCs/>
          <w:iCs/>
          <w:caps/>
        </w:rPr>
        <w:t>3300, Eger. Eszterházy Tér 1.</w:t>
      </w: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</w:pPr>
      <w:r w:rsidRPr="006136BA">
        <w:rPr>
          <w:b/>
          <w:caps/>
        </w:rPr>
        <w:t>Intézményi azonosító</w:t>
      </w:r>
      <w:r w:rsidRPr="006136BA">
        <w:rPr>
          <w:b/>
        </w:rPr>
        <w:t xml:space="preserve">: </w:t>
      </w:r>
      <w:r w:rsidRPr="006136BA">
        <w:rPr>
          <w:b/>
        </w:rPr>
        <w:tab/>
      </w:r>
      <w:r w:rsidRPr="006136BA">
        <w:t>FI 34540</w:t>
      </w: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  <w:rPr>
          <w:bCs/>
          <w:iCs/>
          <w:caps/>
        </w:rPr>
      </w:pPr>
      <w:r w:rsidRPr="006136BA">
        <w:rPr>
          <w:b/>
          <w:bCs/>
          <w:iCs/>
          <w:caps/>
        </w:rPr>
        <w:t xml:space="preserve">Törzskönyvi pir szám: </w:t>
      </w:r>
      <w:r w:rsidRPr="006136BA">
        <w:rPr>
          <w:b/>
          <w:bCs/>
          <w:iCs/>
          <w:caps/>
        </w:rPr>
        <w:tab/>
      </w:r>
      <w:r w:rsidRPr="006136BA">
        <w:rPr>
          <w:bCs/>
          <w:iCs/>
          <w:caps/>
        </w:rPr>
        <w:t>308823</w:t>
      </w:r>
    </w:p>
    <w:p w:rsidR="00E430AA" w:rsidRPr="006136BA" w:rsidRDefault="00E430AA" w:rsidP="00E430AA">
      <w:pPr>
        <w:tabs>
          <w:tab w:val="left" w:pos="5220"/>
        </w:tabs>
        <w:spacing w:line="360" w:lineRule="auto"/>
        <w:ind w:firstLine="900"/>
        <w:rPr>
          <w:bCs/>
          <w:iCs/>
        </w:rPr>
      </w:pPr>
      <w:r w:rsidRPr="006136BA">
        <w:rPr>
          <w:b/>
          <w:bCs/>
          <w:iCs/>
          <w:caps/>
        </w:rPr>
        <w:t>Honlap címe</w:t>
      </w:r>
      <w:r w:rsidRPr="006136BA">
        <w:rPr>
          <w:bCs/>
          <w:iCs/>
          <w:caps/>
        </w:rPr>
        <w:t>:</w:t>
      </w:r>
      <w:r w:rsidRPr="006136BA">
        <w:rPr>
          <w:bCs/>
          <w:iCs/>
          <w:caps/>
        </w:rPr>
        <w:tab/>
      </w:r>
      <w:hyperlink r:id="rId10" w:history="1">
        <w:r w:rsidRPr="006136BA">
          <w:rPr>
            <w:rStyle w:val="Hiperhivatkozs"/>
            <w:bCs/>
            <w:iCs/>
          </w:rPr>
          <w:t>www.ektf.hu</w:t>
        </w:r>
      </w:hyperlink>
    </w:p>
    <w:p w:rsidR="00E430AA" w:rsidRPr="006136BA" w:rsidRDefault="00E430AA" w:rsidP="00E430AA">
      <w:pPr>
        <w:pStyle w:val="Cmsor3"/>
        <w:numPr>
          <w:ilvl w:val="0"/>
          <w:numId w:val="0"/>
        </w:numPr>
        <w:spacing w:line="360" w:lineRule="auto"/>
        <w:ind w:firstLine="180"/>
        <w:jc w:val="both"/>
        <w:rPr>
          <w:caps/>
        </w:rPr>
      </w:pPr>
    </w:p>
    <w:p w:rsidR="00E430AA" w:rsidRPr="006136BA" w:rsidRDefault="00E430AA" w:rsidP="00F62251">
      <w:pPr>
        <w:pStyle w:val="Cmsor3"/>
        <w:numPr>
          <w:ilvl w:val="0"/>
          <w:numId w:val="0"/>
        </w:numPr>
        <w:spacing w:line="360" w:lineRule="auto"/>
        <w:jc w:val="both"/>
        <w:rPr>
          <w:caps/>
        </w:rPr>
      </w:pPr>
      <w:r w:rsidRPr="006136BA">
        <w:rPr>
          <w:caps/>
        </w:rPr>
        <w:t xml:space="preserve">1. </w:t>
      </w:r>
      <w:r w:rsidRPr="006136BA">
        <w:t>Hallgatói létszám alakulása - Oktatási kínálatunk bővülése</w:t>
      </w:r>
    </w:p>
    <w:p w:rsidR="00E430AA" w:rsidRPr="006136BA" w:rsidRDefault="00E430AA" w:rsidP="00E430AA">
      <w:pPr>
        <w:pStyle w:val="Szvegtrzs"/>
        <w:ind w:firstLine="180"/>
      </w:pPr>
      <w:r w:rsidRPr="006136BA">
        <w:rPr>
          <w:b/>
        </w:rPr>
        <w:t>1.</w:t>
      </w:r>
      <w:r w:rsidR="00820B31">
        <w:rPr>
          <w:b/>
        </w:rPr>
        <w:t>1</w:t>
      </w:r>
      <w:r w:rsidRPr="006136BA">
        <w:t xml:space="preserve"> A </w:t>
      </w:r>
      <w:r w:rsidRPr="006136BA">
        <w:rPr>
          <w:b/>
        </w:rPr>
        <w:t xml:space="preserve">hallgatói létszám </w:t>
      </w:r>
      <w:r w:rsidRPr="006136BA">
        <w:t>alakulását az alábbi táblázat mutatja:</w:t>
      </w:r>
    </w:p>
    <w:p w:rsidR="00E430AA" w:rsidRPr="006136BA" w:rsidRDefault="00820B31" w:rsidP="00E430AA">
      <w:pPr>
        <w:jc w:val="both"/>
        <w:rPr>
          <w:i/>
          <w:iCs/>
        </w:rPr>
      </w:pPr>
      <w:r>
        <w:rPr>
          <w:i/>
          <w:iCs/>
        </w:rPr>
        <w:t>2009</w:t>
      </w:r>
      <w:r w:rsidR="00E430AA" w:rsidRPr="006136BA">
        <w:rPr>
          <w:i/>
          <w:iCs/>
        </w:rPr>
        <w:t>/2010. októberi statisztika (fő)</w:t>
      </w:r>
    </w:p>
    <w:p w:rsidR="00E430AA" w:rsidRPr="006136BA" w:rsidRDefault="00E430AA" w:rsidP="00E430AA">
      <w:pPr>
        <w:jc w:val="both"/>
        <w:rPr>
          <w:i/>
          <w:iCs/>
        </w:rPr>
      </w:pPr>
    </w:p>
    <w:p w:rsidR="00E430AA" w:rsidRPr="006136BA" w:rsidRDefault="00E430AA" w:rsidP="00E430AA">
      <w:pPr>
        <w:jc w:val="center"/>
        <w:rPr>
          <w:b/>
        </w:rPr>
      </w:pPr>
      <w:r w:rsidRPr="006136BA">
        <w:rPr>
          <w:b/>
        </w:rPr>
        <w:t>Hallgatói létszám alakulása az októberi statisztikák alapján</w:t>
      </w:r>
    </w:p>
    <w:tbl>
      <w:tblPr>
        <w:tblW w:w="10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66"/>
        <w:gridCol w:w="660"/>
        <w:gridCol w:w="660"/>
        <w:gridCol w:w="660"/>
        <w:gridCol w:w="785"/>
        <w:gridCol w:w="660"/>
        <w:gridCol w:w="660"/>
        <w:gridCol w:w="660"/>
        <w:gridCol w:w="660"/>
        <w:gridCol w:w="692"/>
        <w:gridCol w:w="692"/>
        <w:gridCol w:w="725"/>
        <w:gridCol w:w="660"/>
      </w:tblGrid>
      <w:tr w:rsidR="00E430AA" w:rsidRPr="006136BA" w:rsidTr="00820B31">
        <w:trPr>
          <w:trHeight w:val="285"/>
          <w:jc w:val="center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rPr>
                <w:b/>
                <w:bCs/>
                <w:i/>
                <w:iCs/>
              </w:rPr>
            </w:pPr>
            <w:r w:rsidRPr="006136BA">
              <w:rPr>
                <w:b/>
                <w:bCs/>
                <w:i/>
                <w:iCs/>
              </w:rPr>
              <w:t>Létszám (fő)</w:t>
            </w:r>
          </w:p>
        </w:tc>
        <w:tc>
          <w:tcPr>
            <w:tcW w:w="276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right"/>
              <w:rPr>
                <w:b/>
                <w:bCs/>
              </w:rPr>
            </w:pPr>
            <w:r w:rsidRPr="006136BA">
              <w:rPr>
                <w:b/>
                <w:bCs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Összesen</w:t>
            </w:r>
          </w:p>
        </w:tc>
      </w:tr>
      <w:tr w:rsidR="00E430AA" w:rsidRPr="006136BA" w:rsidTr="00820B31">
        <w:trPr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rPr>
                <w:b/>
                <w:bCs/>
                <w:i/>
                <w:iCs/>
              </w:rPr>
            </w:pPr>
          </w:p>
        </w:tc>
        <w:tc>
          <w:tcPr>
            <w:tcW w:w="276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Nappali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Esti és Levelező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Távoktatás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rPr>
                <w:b/>
                <w:bCs/>
              </w:rPr>
            </w:pPr>
          </w:p>
        </w:tc>
      </w:tr>
      <w:tr w:rsidR="00E430AA" w:rsidRPr="006136BA" w:rsidTr="00820B31">
        <w:trPr>
          <w:trHeight w:val="285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r w:rsidRPr="006136BA">
              <w:t> </w:t>
            </w:r>
          </w:p>
        </w:tc>
        <w:tc>
          <w:tcPr>
            <w:tcW w:w="276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r w:rsidRPr="006136BA">
              <w:t> 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r w:rsidRPr="006136BA">
              <w:t> 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rPr>
                <w:b/>
                <w:bCs/>
              </w:rPr>
            </w:pPr>
          </w:p>
        </w:tc>
      </w:tr>
      <w:tr w:rsidR="00E430AA" w:rsidRPr="006136BA" w:rsidTr="00820B31">
        <w:trPr>
          <w:trHeight w:val="285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right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Képzési szint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Állami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proofErr w:type="spellStart"/>
            <w:r w:rsidRPr="006136BA">
              <w:rPr>
                <w:b/>
                <w:bCs/>
              </w:rPr>
              <w:t>Költségt</w:t>
            </w:r>
            <w:proofErr w:type="spellEnd"/>
            <w:r w:rsidRPr="006136BA">
              <w:rPr>
                <w:b/>
                <w:bCs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Állami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proofErr w:type="spellStart"/>
            <w:r w:rsidRPr="006136BA">
              <w:rPr>
                <w:b/>
                <w:bCs/>
              </w:rPr>
              <w:t>Költségt</w:t>
            </w:r>
            <w:proofErr w:type="spellEnd"/>
            <w:r w:rsidRPr="006136BA">
              <w:rPr>
                <w:b/>
                <w:bCs/>
              </w:rPr>
              <w:t>.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proofErr w:type="spellStart"/>
            <w:r w:rsidRPr="006136BA">
              <w:rPr>
                <w:b/>
                <w:bCs/>
              </w:rPr>
              <w:t>Költségt</w:t>
            </w:r>
            <w:proofErr w:type="spellEnd"/>
            <w:r w:rsidRPr="006136BA">
              <w:rPr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rPr>
                <w:b/>
                <w:bCs/>
              </w:rPr>
            </w:pPr>
          </w:p>
        </w:tc>
      </w:tr>
      <w:tr w:rsidR="00E430AA" w:rsidRPr="006136BA" w:rsidTr="00820B31">
        <w:trPr>
          <w:trHeight w:val="345"/>
          <w:jc w:val="center"/>
        </w:trPr>
        <w:tc>
          <w:tcPr>
            <w:tcW w:w="25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:rsidR="00E430AA" w:rsidRPr="006136BA" w:rsidRDefault="00E430AA" w:rsidP="00820B31">
            <w:r w:rsidRPr="006136BA">
              <w:t> 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2009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2009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2009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</w:rPr>
            </w:pPr>
            <w:r w:rsidRPr="006136BA">
              <w:rPr>
                <w:b/>
              </w:rPr>
              <w:t>2009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2009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2009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430AA" w:rsidRPr="006136BA" w:rsidRDefault="00E430AA" w:rsidP="00820B31">
            <w:pPr>
              <w:jc w:val="center"/>
              <w:rPr>
                <w:b/>
                <w:bCs/>
              </w:rPr>
            </w:pPr>
            <w:r w:rsidRPr="006136BA">
              <w:rPr>
                <w:b/>
                <w:bCs/>
              </w:rPr>
              <w:t>2010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Egyetemi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36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28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103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Főiskola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236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275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594</w:t>
            </w:r>
          </w:p>
        </w:tc>
      </w:tr>
      <w:tr w:rsidR="00E430AA" w:rsidRPr="006136BA" w:rsidTr="00820B31">
        <w:trPr>
          <w:trHeight w:val="315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Alapképzés (Bologna)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671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948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1298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41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4801</w:t>
            </w:r>
          </w:p>
        </w:tc>
      </w:tr>
      <w:tr w:rsidR="00E430AA" w:rsidRPr="006136BA" w:rsidTr="00820B31">
        <w:trPr>
          <w:trHeight w:val="315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Felsőfokú szakképzés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48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1058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Szakirányú továbbképzés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341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341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Mesterképzés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44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336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 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1212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r w:rsidRPr="006136BA">
              <w:t>Tanfolyam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112</w:t>
            </w:r>
          </w:p>
        </w:tc>
        <w:tc>
          <w:tcPr>
            <w:tcW w:w="7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C2420F" w:rsidP="00820B31">
            <w:pPr>
              <w:jc w:val="right"/>
            </w:pPr>
            <w:r>
              <w:t>280</w:t>
            </w:r>
          </w:p>
        </w:tc>
        <w:tc>
          <w:tcPr>
            <w:tcW w:w="660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C2420F" w:rsidP="00820B31">
            <w:pPr>
              <w:jc w:val="right"/>
            </w:pPr>
            <w: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C2420F" w:rsidP="00820B31">
            <w:pPr>
              <w:jc w:val="right"/>
            </w:pPr>
            <w:r>
              <w:t>-</w:t>
            </w:r>
          </w:p>
        </w:tc>
        <w:tc>
          <w:tcPr>
            <w:tcW w:w="692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</w:pPr>
            <w:r w:rsidRPr="006136BA"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C2420F" w:rsidP="00820B31">
            <w:pPr>
              <w:jc w:val="right"/>
            </w:pPr>
            <w:r>
              <w:t>280</w:t>
            </w:r>
          </w:p>
        </w:tc>
      </w:tr>
      <w:tr w:rsidR="00E430AA" w:rsidRPr="006136BA" w:rsidTr="00820B31">
        <w:trPr>
          <w:trHeight w:val="330"/>
          <w:jc w:val="center"/>
        </w:trPr>
        <w:tc>
          <w:tcPr>
            <w:tcW w:w="25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  <w:bCs/>
              </w:rPr>
            </w:pPr>
            <w:r w:rsidRPr="006136BA">
              <w:rPr>
                <w:b/>
                <w:bCs/>
              </w:rPr>
              <w:t>Összesen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3322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2767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1068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C2420F">
            <w:pPr>
              <w:jc w:val="right"/>
              <w:rPr>
                <w:b/>
              </w:rPr>
            </w:pPr>
            <w:r w:rsidRPr="006136BA">
              <w:rPr>
                <w:b/>
              </w:rPr>
              <w:t>1</w:t>
            </w:r>
            <w:r w:rsidR="00C2420F">
              <w:rPr>
                <w:b/>
              </w:rPr>
              <w:t>59</w:t>
            </w:r>
            <w:r w:rsidRPr="006136BA">
              <w:rPr>
                <w:b/>
              </w:rPr>
              <w:t>2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1928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1700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2064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2289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50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41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820B31">
            <w:pPr>
              <w:jc w:val="right"/>
              <w:rPr>
                <w:b/>
              </w:rPr>
            </w:pPr>
            <w:r w:rsidRPr="006136BA">
              <w:rPr>
                <w:b/>
              </w:rPr>
              <w:t>8432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0AA" w:rsidRPr="006136BA" w:rsidRDefault="00E430AA" w:rsidP="00C2420F">
            <w:pPr>
              <w:jc w:val="right"/>
              <w:rPr>
                <w:b/>
              </w:rPr>
            </w:pPr>
            <w:r w:rsidRPr="006136BA">
              <w:rPr>
                <w:b/>
              </w:rPr>
              <w:t>8</w:t>
            </w:r>
            <w:r w:rsidR="00C2420F">
              <w:rPr>
                <w:b/>
              </w:rPr>
              <w:t>38</w:t>
            </w:r>
            <w:r w:rsidRPr="006136BA">
              <w:rPr>
                <w:b/>
              </w:rPr>
              <w:t>9</w:t>
            </w:r>
          </w:p>
        </w:tc>
      </w:tr>
    </w:tbl>
    <w:p w:rsidR="00E430AA" w:rsidRPr="006136BA" w:rsidRDefault="00E430AA" w:rsidP="00E430AA">
      <w:pPr>
        <w:jc w:val="both"/>
      </w:pPr>
    </w:p>
    <w:p w:rsidR="00E430AA" w:rsidRPr="006136BA" w:rsidRDefault="00E430AA" w:rsidP="00E430AA">
      <w:pPr>
        <w:jc w:val="both"/>
      </w:pPr>
      <w:r w:rsidRPr="006136BA">
        <w:t>Bevételeink jelentős részét 2010-ben is az állami finanszírozott hallgatók létszáma utáni normatív támogatás jelentette.</w:t>
      </w:r>
    </w:p>
    <w:p w:rsidR="00E430AA" w:rsidRPr="006136BA" w:rsidRDefault="00E430AA" w:rsidP="00E430AA">
      <w:pPr>
        <w:numPr>
          <w:ilvl w:val="0"/>
          <w:numId w:val="7"/>
        </w:numPr>
        <w:tabs>
          <w:tab w:val="left" w:pos="0"/>
          <w:tab w:val="left" w:pos="180"/>
        </w:tabs>
        <w:ind w:left="0" w:firstLine="0"/>
        <w:jc w:val="both"/>
      </w:pPr>
      <w:r w:rsidRPr="006136BA">
        <w:t xml:space="preserve">2010-ben folytatódtak a BA és MA, és felsőfokú szakképzések indításával kapcsolatos eljárások. 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 hallgatói létszám az egy évvel korábbi statisztikához képest </w:t>
      </w:r>
      <w:r w:rsidR="00D8463C">
        <w:rPr>
          <w:iCs/>
        </w:rPr>
        <w:t>4</w:t>
      </w:r>
      <w:r w:rsidRPr="006136BA">
        <w:rPr>
          <w:iCs/>
        </w:rPr>
        <w:t xml:space="preserve"> </w:t>
      </w:r>
      <w:proofErr w:type="spellStart"/>
      <w:r w:rsidRPr="006136BA">
        <w:rPr>
          <w:iCs/>
        </w:rPr>
        <w:t>%-al</w:t>
      </w:r>
      <w:proofErr w:type="spellEnd"/>
      <w:r w:rsidRPr="006136BA">
        <w:rPr>
          <w:iCs/>
        </w:rPr>
        <w:t xml:space="preserve"> csökkent. Ezen belül a nappali tagozatos hallgatók száma 7 </w:t>
      </w:r>
      <w:proofErr w:type="spellStart"/>
      <w:r w:rsidRPr="006136BA">
        <w:rPr>
          <w:iCs/>
        </w:rPr>
        <w:t>%-al</w:t>
      </w:r>
      <w:proofErr w:type="spellEnd"/>
      <w:r w:rsidRPr="006136BA">
        <w:rPr>
          <w:iCs/>
        </w:rPr>
        <w:t xml:space="preserve"> lett kevesebb, míg a részidős képzésben </w:t>
      </w:r>
      <w:r w:rsidR="00D8463C">
        <w:rPr>
          <w:iCs/>
        </w:rPr>
        <w:t>résztvevők száma szinte változatlan</w:t>
      </w:r>
      <w:r w:rsidRPr="006136BA">
        <w:rPr>
          <w:iCs/>
        </w:rPr>
        <w:t>. A csökkenés oka, hogy a hagyományos képzésben jele</w:t>
      </w:r>
      <w:r w:rsidR="00820B31">
        <w:rPr>
          <w:iCs/>
        </w:rPr>
        <w:t>ntős létszámú hallgató végzett és helyükre nem érkezet</w:t>
      </w:r>
      <w:r w:rsidR="00D96CBD">
        <w:rPr>
          <w:iCs/>
        </w:rPr>
        <w:t>t</w:t>
      </w:r>
      <w:r w:rsidR="00820B31">
        <w:rPr>
          <w:iCs/>
        </w:rPr>
        <w:t xml:space="preserve"> új</w:t>
      </w:r>
      <w:r w:rsidR="00D96CBD">
        <w:rPr>
          <w:iCs/>
        </w:rPr>
        <w:t>,</w:t>
      </w:r>
      <w:r w:rsidR="00820B31">
        <w:rPr>
          <w:iCs/>
        </w:rPr>
        <w:t xml:space="preserve"> hagyományos képzésben </w:t>
      </w:r>
      <w:proofErr w:type="gramStart"/>
      <w:r w:rsidR="00820B31">
        <w:rPr>
          <w:iCs/>
        </w:rPr>
        <w:t>résztvevő hallgató</w:t>
      </w:r>
      <w:proofErr w:type="gramEnd"/>
      <w:r w:rsidR="00820B31">
        <w:rPr>
          <w:iCs/>
        </w:rPr>
        <w:t>.</w:t>
      </w:r>
    </w:p>
    <w:p w:rsidR="00E430AA" w:rsidRPr="00820B31" w:rsidRDefault="00E430AA" w:rsidP="00E430AA">
      <w:pPr>
        <w:jc w:val="both"/>
        <w:rPr>
          <w:iCs/>
        </w:rPr>
      </w:pPr>
    </w:p>
    <w:p w:rsidR="00E430AA" w:rsidRPr="006136BA" w:rsidRDefault="00E430AA" w:rsidP="00820B31">
      <w:pPr>
        <w:shd w:val="clear" w:color="000000" w:fill="FFFFFF"/>
        <w:spacing w:after="120"/>
        <w:jc w:val="both"/>
        <w:rPr>
          <w:i/>
        </w:rPr>
      </w:pPr>
      <w:r w:rsidRPr="006136BA">
        <w:rPr>
          <w:b/>
        </w:rPr>
        <w:t>Képzési programok</w:t>
      </w:r>
      <w:r w:rsidRPr="006136BA">
        <w:t xml:space="preserve"> létesítésével, indításával kapcsolatos stratégiák</w:t>
      </w:r>
      <w:r w:rsidRPr="006136BA">
        <w:rPr>
          <w:i/>
        </w:rPr>
        <w:t>:</w:t>
      </w:r>
    </w:p>
    <w:p w:rsidR="00E430AA" w:rsidRPr="006136BA" w:rsidRDefault="00E430AA" w:rsidP="00E430AA">
      <w:pPr>
        <w:shd w:val="clear" w:color="000000" w:fill="FFFFFF"/>
        <w:spacing w:after="120"/>
        <w:jc w:val="both"/>
      </w:pPr>
      <w:r w:rsidRPr="006136BA">
        <w:t xml:space="preserve">A képzési programok kialakításánál arra a több mint hat évtizedes hagyományra alapoztunk, amellyel intézményünk a tanárképzés területén rendelkezik. A programok kialakításánál törekedtünk arra, hogy az érvényes oktatáspolitikai, munkaerő-piaci igények és tendenciák érvényesüljenek, az intézményünkben mértékadó tudományágak megfelelően reprezentálva legyenek, a Bologna-folyamatban indítható alapképzési szakokra tanári, illetve diszciplináris mesterképzést lehessen építeni. </w:t>
      </w:r>
    </w:p>
    <w:p w:rsidR="00E430AA" w:rsidRPr="006136BA" w:rsidRDefault="00E430AA" w:rsidP="00E430AA">
      <w:pPr>
        <w:jc w:val="both"/>
      </w:pPr>
      <w:r w:rsidRPr="006136BA">
        <w:lastRenderedPageBreak/>
        <w:t xml:space="preserve">A tanárképzés szinte teljes spektrumára irányuló terveinket azzal alapoztuk meg, hogy 2005-ben létrehoztuk a Pedagógiai, Pszichológiai és Tanárképzési Fakultást, majd 2007-ben a Tanárképzési és Tudástechnológiai Kart. </w:t>
      </w:r>
    </w:p>
    <w:p w:rsidR="00E430AA" w:rsidRPr="006136BA" w:rsidRDefault="00E430AA" w:rsidP="00E430AA">
      <w:pPr>
        <w:jc w:val="both"/>
      </w:pPr>
      <w:r w:rsidRPr="006136BA">
        <w:t xml:space="preserve">2005-ben megkezdődött az a folyamat, amelynek eredményeképpen akkreditálásra kerültek BA és </w:t>
      </w:r>
      <w:proofErr w:type="spellStart"/>
      <w:r w:rsidRPr="006136BA">
        <w:t>BSc</w:t>
      </w:r>
      <w:proofErr w:type="spellEnd"/>
      <w:r w:rsidRPr="006136BA">
        <w:t xml:space="preserve"> alapképzési szakok. Ezek az alapképzési szakok megteremtették a lehetőségét a mestertanárképzés előkészítésének, az első, illetve a második tanári szakképzettségek akkreditációs anyagai elkészítésének. Terveink megfogalmazásakor a fentieken túl figyelembe vettük intézményünk szellemi és tárgyi kapacitásait, az infrastrukturális hátteret, illetve a rendelkezésünkre álló pályakövetési </w:t>
      </w:r>
      <w:proofErr w:type="gramStart"/>
      <w:r w:rsidR="00D96CBD">
        <w:t>adatokat</w:t>
      </w:r>
      <w:proofErr w:type="gramEnd"/>
      <w:r w:rsidRPr="006136BA">
        <w:t xml:space="preserve"> adatait.</w:t>
      </w:r>
    </w:p>
    <w:p w:rsidR="00E430AA" w:rsidRPr="006136BA" w:rsidRDefault="00E430AA" w:rsidP="00E430AA">
      <w:pPr>
        <w:jc w:val="both"/>
      </w:pPr>
      <w:r w:rsidRPr="006136BA">
        <w:t xml:space="preserve">A képzési programok indítására vonatkozó terveink megalapozottaknak bizonyultak, mert az </w:t>
      </w:r>
      <w:r w:rsidRPr="006136BA">
        <w:rPr>
          <w:i/>
        </w:rPr>
        <w:t>Intézményfejlesztési terv</w:t>
      </w:r>
      <w:r w:rsidRPr="006136BA">
        <w:t>ben (IFT) körvonalazott koncepciónk a képzési szerkezet átalakítására mintegy 90%-ban teljesült.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820B31" w:rsidP="00E430AA">
      <w:pPr>
        <w:jc w:val="both"/>
        <w:rPr>
          <w:b/>
          <w:iCs/>
        </w:rPr>
      </w:pPr>
      <w:r>
        <w:rPr>
          <w:b/>
          <w:iCs/>
        </w:rPr>
        <w:t xml:space="preserve">  1.2 </w:t>
      </w:r>
      <w:r w:rsidR="00E430AA" w:rsidRPr="006136BA">
        <w:rPr>
          <w:b/>
          <w:iCs/>
        </w:rPr>
        <w:t>Hallgatók részére biztosított szolgáltatások</w:t>
      </w:r>
    </w:p>
    <w:p w:rsidR="00E430AA" w:rsidRDefault="00E430AA" w:rsidP="00E430AA">
      <w:pPr>
        <w:jc w:val="both"/>
        <w:rPr>
          <w:iCs/>
        </w:rPr>
      </w:pPr>
      <w:r w:rsidRPr="006136BA">
        <w:rPr>
          <w:iCs/>
        </w:rPr>
        <w:t xml:space="preserve">Az egyre inkább </w:t>
      </w:r>
      <w:proofErr w:type="spellStart"/>
      <w:r w:rsidRPr="006136BA">
        <w:rPr>
          <w:iCs/>
        </w:rPr>
        <w:t>piacosodó</w:t>
      </w:r>
      <w:proofErr w:type="spellEnd"/>
      <w:r w:rsidRPr="006136BA">
        <w:rPr>
          <w:iCs/>
        </w:rPr>
        <w:t xml:space="preserve"> felsőoktatás területén fontos feladatunk, hogy intézményünket vonzóvá tegyük a középiskolában végzettek számára. </w:t>
      </w:r>
      <w:proofErr w:type="gramStart"/>
      <w:r w:rsidRPr="006136BA">
        <w:rPr>
          <w:iCs/>
        </w:rPr>
        <w:t>2010. szeptemberében</w:t>
      </w:r>
      <w:proofErr w:type="gramEnd"/>
      <w:r w:rsidRPr="006136BA">
        <w:rPr>
          <w:iCs/>
        </w:rPr>
        <w:t xml:space="preserve"> valamennyi intézményünkbe jelentkezett nappalis hallgató részére laptopot biztosítottunk, folytatva a korábbi évek hagyományát. A „PPP” fejlesztéseink eredményeként 544 korszerű kollégiumi férőhellyel rendelkezünk. </w:t>
      </w:r>
    </w:p>
    <w:p w:rsidR="00205C29" w:rsidRDefault="00205C29" w:rsidP="00E430AA">
      <w:pPr>
        <w:jc w:val="both"/>
        <w:rPr>
          <w:iCs/>
        </w:rPr>
      </w:pPr>
    </w:p>
    <w:p w:rsidR="00D37ADD" w:rsidRPr="004F7EB8" w:rsidRDefault="00820B31" w:rsidP="00D37ADD">
      <w:pPr>
        <w:jc w:val="both"/>
      </w:pPr>
      <w:r>
        <w:t xml:space="preserve">  </w:t>
      </w:r>
      <w:r w:rsidRPr="00820B31">
        <w:rPr>
          <w:b/>
        </w:rPr>
        <w:t xml:space="preserve">1.2.1 </w:t>
      </w:r>
      <w:r w:rsidR="00D37ADD" w:rsidRPr="004F7EB8">
        <w:t>A könyvtári szolgáltatások fejlesztése 2010-ben tovább folytatódott, emellett pedig az új feladatok szükségessé tették a kön</w:t>
      </w:r>
      <w:r w:rsidR="00D37ADD">
        <w:t>yvtár gazdasági helyzetének át</w:t>
      </w:r>
      <w:r w:rsidR="00D37ADD" w:rsidRPr="004F7EB8">
        <w:t>gondolását, ésszerűsítését. Tovább bővült a szolgáltatások köre külső és belső kezdeményezésre egyaránt. Az EISZ keretén belül újabb adatbázisok kedvezményes előfizetésére nyílt lehetőség, amelyek a tudományterületek széles spektrumát kínálva számos újabb teljes szöveges folyóirat elérését teszik lehetővé (pl. a JSTOR bővítése). Folytatódott a mesterszakok szakirodalmi hátterének fejlesztése. Jelentős állomán</w:t>
      </w:r>
      <w:r w:rsidR="00D37ADD">
        <w:t>ygyarapításra került sor a KELLO</w:t>
      </w:r>
      <w:r w:rsidR="00D37ADD" w:rsidRPr="004F7EB8">
        <w:t xml:space="preserve"> kedvezményes keretszerződésén keresztül, valamint a külföldi szakkönyvek területén is.</w:t>
      </w:r>
    </w:p>
    <w:p w:rsidR="00D37ADD" w:rsidRPr="004F7EB8" w:rsidRDefault="00D37ADD" w:rsidP="00D37ADD">
      <w:pPr>
        <w:jc w:val="both"/>
      </w:pPr>
      <w:r w:rsidRPr="004F7EB8">
        <w:t>Sor került a folyosói információs rendszer technikai továbbfejlesztésére, amelynek célja a főiskola polgárainak hatékonyabb kiszolgálása volt, változatos médiákon keresztül.</w:t>
      </w:r>
    </w:p>
    <w:p w:rsidR="00D37ADD" w:rsidRPr="004F7EB8" w:rsidRDefault="00D37ADD" w:rsidP="00D37ADD">
      <w:pPr>
        <w:jc w:val="both"/>
      </w:pPr>
      <w:r w:rsidRPr="004F7EB8">
        <w:t>A főiskola új konzorciumi együttműködésének megvalósítása a Magyar Tudományos Művek Tárával (MTMT) szintén a könyvtár keretén belül indult meg tevékenységek és gazdasági vonatkozások tekintetében egyaránt. Ez az együttműködés megteremti a publikációs adatbázis szolgáltatások lehetőségét.</w:t>
      </w:r>
    </w:p>
    <w:p w:rsidR="00D37ADD" w:rsidRPr="004F7EB8" w:rsidRDefault="00D37ADD" w:rsidP="00D37ADD">
      <w:pPr>
        <w:jc w:val="both"/>
      </w:pPr>
      <w:r w:rsidRPr="004F7EB8">
        <w:t xml:space="preserve">Több időszaki </w:t>
      </w:r>
      <w:r>
        <w:t xml:space="preserve">virtuális és valós kiállítás, </w:t>
      </w:r>
      <w:r w:rsidRPr="004F7EB8">
        <w:t>rendezvény bemutatására került sor, amelyek között országos és helyi rendezvények egyaránt szerepeltek.</w:t>
      </w:r>
    </w:p>
    <w:p w:rsidR="00D37ADD" w:rsidRPr="004F7EB8" w:rsidRDefault="00D37ADD" w:rsidP="00D37ADD">
      <w:pPr>
        <w:jc w:val="both"/>
      </w:pPr>
      <w:r w:rsidRPr="004F7EB8">
        <w:t>A könyvtár tovább fokozta pályázati tevékenységét. Újabb nyertes restaurálási pályázatot nyert el a régi könyvek restaurálására az NKA támogatásával. A</w:t>
      </w:r>
      <w:r>
        <w:t>z</w:t>
      </w:r>
      <w:r w:rsidRPr="004F7EB8">
        <w:t xml:space="preserve"> előző évi TIOP pályázatra épülve pedig konzorcium vezetőként egy TÁMOP pályázati konstrukció megvalósítására kapott lehetőséget 3 konzorciumi partner támogatásával. Ennek keretén belül megindult bizonyos szolgáltatások újratervezése, valamint a könyvtári portál szolgáltatásainak fejlesztése, amelynek célja az oktatás és kutatás támogatása, valamint az olvasás népszerűsítése.</w:t>
      </w:r>
    </w:p>
    <w:p w:rsidR="00D37ADD" w:rsidRPr="004F7EB8" w:rsidRDefault="00D37ADD" w:rsidP="00D37ADD">
      <w:pPr>
        <w:jc w:val="both"/>
      </w:pPr>
      <w:r w:rsidRPr="004F7EB8">
        <w:t>A 2010-es év második felét a könyvtár ideiglenes helyekre történő költözése határozta meg elsősorban, amely komoly feladatot jelentett logisztikai és némely esetben gazdasági téren is. A költözések során azonban az ideiglenes, rendkívüli körülmények között is sikerült biztosítani a folyamatos szolgáltatást és a szinte</w:t>
      </w:r>
      <w:r>
        <w:t xml:space="preserve"> </w:t>
      </w:r>
      <w:r w:rsidRPr="004F7EB8">
        <w:t>zökkenőmentes könyvtárhasználatot, valamint megtervezni a következő év fejlesztéseinek alapjait.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2010-ben átlag 25 </w:t>
      </w:r>
      <w:r w:rsidRPr="006136BA">
        <w:rPr>
          <w:b/>
          <w:iCs/>
        </w:rPr>
        <w:t>hallgató</w:t>
      </w:r>
      <w:r w:rsidRPr="006136BA">
        <w:rPr>
          <w:iCs/>
        </w:rPr>
        <w:t xml:space="preserve"> részesült </w:t>
      </w:r>
      <w:r w:rsidRPr="006136BA">
        <w:rPr>
          <w:b/>
          <w:iCs/>
        </w:rPr>
        <w:t>Köztársasági ösztöndíj</w:t>
      </w:r>
      <w:r w:rsidRPr="006136BA">
        <w:rPr>
          <w:iCs/>
        </w:rPr>
        <w:t xml:space="preserve">ban, a </w:t>
      </w:r>
      <w:proofErr w:type="spellStart"/>
      <w:r w:rsidRPr="006136BA">
        <w:rPr>
          <w:b/>
          <w:iCs/>
        </w:rPr>
        <w:t>Bursa</w:t>
      </w:r>
      <w:proofErr w:type="spellEnd"/>
      <w:r w:rsidRPr="006136BA">
        <w:rPr>
          <w:b/>
          <w:iCs/>
        </w:rPr>
        <w:t xml:space="preserve"> ösztöndíj</w:t>
      </w:r>
      <w:r w:rsidRPr="006136BA">
        <w:rPr>
          <w:iCs/>
        </w:rPr>
        <w:t xml:space="preserve">asok száma átlag 700 fő. </w:t>
      </w:r>
    </w:p>
    <w:p w:rsidR="00E430AA" w:rsidRDefault="00E430AA" w:rsidP="00E430AA">
      <w:pPr>
        <w:jc w:val="both"/>
        <w:rPr>
          <w:b/>
          <w:iCs/>
        </w:rPr>
      </w:pPr>
    </w:p>
    <w:p w:rsidR="00D37ADD" w:rsidRDefault="00D37ADD" w:rsidP="00E430AA">
      <w:pPr>
        <w:jc w:val="both"/>
        <w:rPr>
          <w:b/>
          <w:iCs/>
        </w:rPr>
      </w:pPr>
    </w:p>
    <w:p w:rsidR="00D37ADD" w:rsidRPr="006136BA" w:rsidRDefault="00D37ADD" w:rsidP="00E430AA">
      <w:pPr>
        <w:jc w:val="both"/>
        <w:rPr>
          <w:b/>
          <w:iCs/>
        </w:rPr>
      </w:pPr>
    </w:p>
    <w:p w:rsidR="00E430AA" w:rsidRPr="006136BA" w:rsidRDefault="00820B31" w:rsidP="00E430AA">
      <w:pPr>
        <w:jc w:val="both"/>
        <w:rPr>
          <w:b/>
          <w:iCs/>
        </w:rPr>
      </w:pPr>
      <w:r>
        <w:rPr>
          <w:b/>
          <w:iCs/>
        </w:rPr>
        <w:t xml:space="preserve">   1.2.2 </w:t>
      </w:r>
      <w:r w:rsidR="00E430AA" w:rsidRPr="006136BA">
        <w:rPr>
          <w:b/>
          <w:iCs/>
        </w:rPr>
        <w:t>Tudományos diákkör</w:t>
      </w:r>
    </w:p>
    <w:p w:rsidR="00E430AA" w:rsidRPr="006136BA" w:rsidRDefault="00E430AA" w:rsidP="00E430AA">
      <w:pPr>
        <w:jc w:val="both"/>
      </w:pPr>
      <w:r w:rsidRPr="006136BA">
        <w:rPr>
          <w:b/>
        </w:rPr>
        <w:lastRenderedPageBreak/>
        <w:t>Vállaltuk a TDK aktivitás, eredményesség és mutatók megtartását.</w:t>
      </w:r>
      <w:r w:rsidRPr="006136BA">
        <w:t xml:space="preserve"> A házi versenyeinken korábban résztvevők száma 200 fő körül mozgott, közülük általában 60-70 fő jutott tovább dolgozatával az </w:t>
      </w:r>
      <w:proofErr w:type="spellStart"/>
      <w:r w:rsidRPr="006136BA">
        <w:t>OTDK-ra</w:t>
      </w:r>
      <w:proofErr w:type="spellEnd"/>
      <w:r w:rsidRPr="006136BA">
        <w:t>.</w:t>
      </w:r>
    </w:p>
    <w:p w:rsidR="00E430AA" w:rsidRPr="006136BA" w:rsidRDefault="00E430AA" w:rsidP="00E430AA">
      <w:pPr>
        <w:jc w:val="both"/>
      </w:pPr>
      <w:r w:rsidRPr="006136BA">
        <w:t xml:space="preserve">2010-ben rendezett házi TDK fordulókról </w:t>
      </w:r>
      <w:r w:rsidRPr="006136BA">
        <w:rPr>
          <w:i/>
        </w:rPr>
        <w:t>208 hallgató</w:t>
      </w:r>
      <w:r w:rsidRPr="006136BA">
        <w:t xml:space="preserve"> – BTK 80 fő, GTK 15 fő, TKTK 48 fő, TTK 65 fő – </w:t>
      </w:r>
      <w:r w:rsidRPr="006136BA">
        <w:rPr>
          <w:i/>
        </w:rPr>
        <w:t>204 munkájával</w:t>
      </w:r>
      <w:r w:rsidRPr="006136BA">
        <w:t xml:space="preserve"> kapott idén nevezési jogot a 2011-ben megrendezendő országos versenyekre. 2008-ban 158 fő 166 pályamunkával nevezhetett, tehát a jogosultságot szerzettek száma az </w:t>
      </w:r>
      <w:r w:rsidRPr="006136BA">
        <w:rPr>
          <w:i/>
        </w:rPr>
        <w:t xml:space="preserve">előző versenyhez képest </w:t>
      </w:r>
      <w:r w:rsidRPr="006136BA">
        <w:rPr>
          <w:b/>
          <w:i/>
        </w:rPr>
        <w:t>harmadával</w:t>
      </w:r>
      <w:r w:rsidRPr="006136BA">
        <w:t xml:space="preserve">, a </w:t>
      </w:r>
      <w:r w:rsidRPr="006136BA">
        <w:rPr>
          <w:i/>
        </w:rPr>
        <w:t>korábbi időszakhoz képest</w:t>
      </w:r>
      <w:r w:rsidRPr="006136BA">
        <w:t xml:space="preserve"> pedig </w:t>
      </w:r>
      <w:r w:rsidRPr="006136BA">
        <w:rPr>
          <w:b/>
          <w:i/>
        </w:rPr>
        <w:t>háromszorosával</w:t>
      </w:r>
      <w:r w:rsidRPr="006136BA">
        <w:t xml:space="preserve"> </w:t>
      </w:r>
      <w:r w:rsidRPr="006136BA">
        <w:rPr>
          <w:b/>
          <w:i/>
        </w:rPr>
        <w:t>nőtt</w:t>
      </w:r>
      <w:r w:rsidRPr="006136BA">
        <w:t>. - Az őszi versenyen szereplők már – egy kivételtől eltekintve – a bolognai rendszerben folytatják tanulmányaikat, 80%-uk BA/</w:t>
      </w:r>
      <w:proofErr w:type="spellStart"/>
      <w:r w:rsidRPr="006136BA">
        <w:t>BSc</w:t>
      </w:r>
      <w:proofErr w:type="spellEnd"/>
      <w:r w:rsidRPr="006136BA">
        <w:t>, 20 pedig MA/</w:t>
      </w:r>
      <w:proofErr w:type="spellStart"/>
      <w:r w:rsidRPr="006136BA">
        <w:t>MSc</w:t>
      </w:r>
      <w:proofErr w:type="spellEnd"/>
      <w:r w:rsidRPr="006136BA">
        <w:t xml:space="preserve"> képzésen vesz részt. Hallgatóink felkészítésében 79 oktató vett részt. 47 tanár egy, 11 kettő, 5 három, 3 négy, 2 öt, 2 hat, 3 hat, 1 pedig nyolc munka elkészítését vezette. Dr. </w:t>
      </w:r>
      <w:proofErr w:type="spellStart"/>
      <w:r w:rsidRPr="006136BA">
        <w:t>Verók</w:t>
      </w:r>
      <w:proofErr w:type="spellEnd"/>
      <w:r w:rsidRPr="006136BA">
        <w:t xml:space="preserve"> Attila és dr. Balázs Péter 17-17, Bölcskei Miklós pedig 16 dolgozatnak/alkotásnak volt a konzulense.</w:t>
      </w:r>
    </w:p>
    <w:p w:rsidR="00E430AA" w:rsidRPr="006136BA" w:rsidRDefault="00E430AA" w:rsidP="00E430AA">
      <w:pPr>
        <w:jc w:val="both"/>
        <w:rPr>
          <w:b/>
        </w:rPr>
      </w:pPr>
      <w:r w:rsidRPr="006136BA">
        <w:t>A következő év legfontosabb feladata az országos verseny sikeres lebonyolítása lesz.</w:t>
      </w:r>
    </w:p>
    <w:p w:rsidR="00E430AA" w:rsidRPr="006136BA" w:rsidRDefault="00E430AA" w:rsidP="00E430AA">
      <w:pPr>
        <w:jc w:val="both"/>
        <w:rPr>
          <w:iCs/>
        </w:rPr>
      </w:pPr>
    </w:p>
    <w:p w:rsidR="00820B31" w:rsidRPr="00820B31" w:rsidRDefault="00820B31" w:rsidP="00E430AA">
      <w:pPr>
        <w:jc w:val="both"/>
        <w:rPr>
          <w:b/>
          <w:iCs/>
        </w:rPr>
      </w:pPr>
      <w:r>
        <w:rPr>
          <w:b/>
          <w:iCs/>
        </w:rPr>
        <w:t xml:space="preserve">   </w:t>
      </w:r>
      <w:r w:rsidRPr="00820B31">
        <w:rPr>
          <w:b/>
          <w:iCs/>
        </w:rPr>
        <w:t>1.2.3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2010-ben a </w:t>
      </w:r>
      <w:r w:rsidRPr="006136BA">
        <w:rPr>
          <w:b/>
          <w:iCs/>
        </w:rPr>
        <w:t>hallgatók jegyzetvásárlására támogatást nem biztosítottunk.</w:t>
      </w:r>
      <w:r w:rsidRPr="006136BA">
        <w:rPr>
          <w:iCs/>
        </w:rPr>
        <w:t xml:space="preserve"> Ennek következtében sajnos a főiskola jegyzetértékesítési bevétele </w:t>
      </w:r>
      <w:proofErr w:type="gramStart"/>
      <w:r w:rsidRPr="006136BA">
        <w:rPr>
          <w:iCs/>
        </w:rPr>
        <w:t>nagy mértékben</w:t>
      </w:r>
      <w:proofErr w:type="gramEnd"/>
      <w:r w:rsidRPr="006136BA">
        <w:rPr>
          <w:iCs/>
        </w:rPr>
        <w:t xml:space="preserve"> csökkent. </w:t>
      </w:r>
    </w:p>
    <w:p w:rsidR="00E430AA" w:rsidRPr="006136BA" w:rsidRDefault="00E430AA" w:rsidP="00E430AA">
      <w:pPr>
        <w:jc w:val="both"/>
        <w:rPr>
          <w:iCs/>
        </w:rPr>
      </w:pPr>
    </w:p>
    <w:p w:rsidR="00E430AA" w:rsidRPr="006136BA" w:rsidRDefault="00820B31" w:rsidP="00E430AA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1.2.4 </w:t>
      </w:r>
      <w:r w:rsidR="00E430AA" w:rsidRPr="006136BA">
        <w:rPr>
          <w:rFonts w:cs="Arial"/>
          <w:b/>
        </w:rPr>
        <w:t>Kulturális szolgáltatásaink</w:t>
      </w:r>
      <w:r>
        <w:rPr>
          <w:rFonts w:cs="Arial"/>
          <w:b/>
        </w:rPr>
        <w:t>, sport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Jelentős helyet tölt be munkánkban </w:t>
      </w:r>
      <w:proofErr w:type="gramStart"/>
      <w:r w:rsidRPr="006136BA">
        <w:rPr>
          <w:rFonts w:cs="Arial"/>
        </w:rPr>
        <w:t>az  évekkel</w:t>
      </w:r>
      <w:proofErr w:type="gramEnd"/>
      <w:r w:rsidRPr="006136BA">
        <w:rPr>
          <w:rFonts w:cs="Arial"/>
        </w:rPr>
        <w:t xml:space="preserve"> ezelőtt </w:t>
      </w:r>
      <w:proofErr w:type="spellStart"/>
      <w:r w:rsidRPr="006136BA">
        <w:rPr>
          <w:rFonts w:cs="Arial"/>
        </w:rPr>
        <w:t>életrehívott</w:t>
      </w:r>
      <w:proofErr w:type="spellEnd"/>
      <w:r w:rsidRPr="006136BA">
        <w:rPr>
          <w:rFonts w:cs="Arial"/>
        </w:rPr>
        <w:t xml:space="preserve"> </w:t>
      </w:r>
      <w:r w:rsidRPr="006136BA">
        <w:rPr>
          <w:rFonts w:cs="Arial"/>
          <w:b/>
        </w:rPr>
        <w:t>Nemzetközi Művésztelep</w:t>
      </w:r>
      <w:r w:rsidRPr="006136BA">
        <w:rPr>
          <w:rFonts w:cs="Arial"/>
        </w:rPr>
        <w:t xml:space="preserve">ek megrendezése. A </w:t>
      </w:r>
      <w:proofErr w:type="spellStart"/>
      <w:r w:rsidRPr="006136BA">
        <w:rPr>
          <w:rFonts w:cs="Arial"/>
          <w:b/>
          <w:i/>
        </w:rPr>
        <w:t>K</w:t>
      </w:r>
      <w:r w:rsidRPr="006136BA">
        <w:rPr>
          <w:rFonts w:cs="Arial"/>
          <w:i/>
        </w:rPr>
        <w:t>epes</w:t>
      </w:r>
      <w:proofErr w:type="spellEnd"/>
      <w:r w:rsidRPr="006136BA">
        <w:rPr>
          <w:rFonts w:cs="Arial"/>
          <w:i/>
        </w:rPr>
        <w:t xml:space="preserve"> </w:t>
      </w:r>
      <w:r w:rsidRPr="006136BA">
        <w:rPr>
          <w:rFonts w:cs="Arial"/>
          <w:b/>
          <w:i/>
        </w:rPr>
        <w:t>Gy</w:t>
      </w:r>
      <w:r w:rsidRPr="006136BA">
        <w:rPr>
          <w:rFonts w:cs="Arial"/>
          <w:i/>
        </w:rPr>
        <w:t xml:space="preserve">örgy </w:t>
      </w:r>
      <w:r w:rsidRPr="006136BA">
        <w:rPr>
          <w:rFonts w:cs="Arial"/>
        </w:rPr>
        <w:t xml:space="preserve">nevével fémjelzett </w:t>
      </w:r>
      <w:r w:rsidRPr="006136BA">
        <w:rPr>
          <w:rFonts w:cs="Arial"/>
          <w:b/>
          <w:i/>
        </w:rPr>
        <w:t>K</w:t>
      </w:r>
      <w:r w:rsidRPr="006136BA">
        <w:rPr>
          <w:rFonts w:cs="Arial"/>
          <w:i/>
        </w:rPr>
        <w:t xml:space="preserve">épzőművészeti </w:t>
      </w:r>
      <w:r w:rsidRPr="006136BA">
        <w:rPr>
          <w:rFonts w:cs="Arial"/>
          <w:b/>
          <w:i/>
        </w:rPr>
        <w:t>M</w:t>
      </w:r>
      <w:r w:rsidRPr="006136BA">
        <w:rPr>
          <w:rFonts w:cs="Arial"/>
          <w:i/>
        </w:rPr>
        <w:t>űhely</w:t>
      </w:r>
      <w:r w:rsidRPr="006136BA">
        <w:rPr>
          <w:rFonts w:cs="Arial"/>
        </w:rPr>
        <w:t xml:space="preserve"> hagyományát a Vizuális Művészeti tanszék vette át a tanszékvezető szakmai irányításával, az </w:t>
      </w:r>
      <w:r w:rsidRPr="006136BA">
        <w:rPr>
          <w:rFonts w:cs="Arial"/>
          <w:b/>
          <w:i/>
        </w:rPr>
        <w:t>I</w:t>
      </w:r>
      <w:r w:rsidRPr="006136BA">
        <w:rPr>
          <w:rFonts w:cs="Arial"/>
          <w:i/>
        </w:rPr>
        <w:t xml:space="preserve">llés </w:t>
      </w:r>
      <w:r w:rsidRPr="006136BA">
        <w:rPr>
          <w:rFonts w:cs="Arial"/>
          <w:b/>
          <w:i/>
        </w:rPr>
        <w:t>Gy</w:t>
      </w:r>
      <w:r w:rsidRPr="006136BA">
        <w:rPr>
          <w:rFonts w:cs="Arial"/>
          <w:i/>
        </w:rPr>
        <w:t>örgy</w:t>
      </w:r>
      <w:r w:rsidRPr="006136BA">
        <w:rPr>
          <w:rFonts w:cs="Arial"/>
        </w:rPr>
        <w:t xml:space="preserve"> nevét viselő </w:t>
      </w:r>
      <w:r w:rsidRPr="006136BA">
        <w:rPr>
          <w:rFonts w:cs="Arial"/>
          <w:i/>
        </w:rPr>
        <w:t>Nemzetközi Filmműhely</w:t>
      </w:r>
      <w:r w:rsidRPr="006136BA">
        <w:rPr>
          <w:rFonts w:cs="Arial"/>
        </w:rPr>
        <w:t xml:space="preserve"> pedig a mozgóképkultúra tanszék filmrendező tanárainak közreműködésével zajlik – </w:t>
      </w:r>
      <w:proofErr w:type="spellStart"/>
      <w:r w:rsidRPr="006136BA">
        <w:rPr>
          <w:rFonts w:cs="Arial"/>
        </w:rPr>
        <w:t>Bollók</w:t>
      </w:r>
      <w:proofErr w:type="spellEnd"/>
      <w:r w:rsidRPr="006136BA">
        <w:rPr>
          <w:rFonts w:cs="Arial"/>
        </w:rPr>
        <w:t xml:space="preserve"> Csaba vezetésével – sikeresen, a Médiainformatika Intézet és a Pro </w:t>
      </w:r>
      <w:proofErr w:type="spellStart"/>
      <w:r w:rsidRPr="006136BA">
        <w:rPr>
          <w:rFonts w:cs="Arial"/>
        </w:rPr>
        <w:t>Scientiis</w:t>
      </w:r>
      <w:proofErr w:type="spellEnd"/>
      <w:r w:rsidRPr="006136BA">
        <w:rPr>
          <w:rFonts w:cs="Arial"/>
        </w:rPr>
        <w:t xml:space="preserve"> Alapítvány nélkülözhetetlen támogatásával. </w:t>
      </w:r>
    </w:p>
    <w:p w:rsidR="00E430AA" w:rsidRPr="006136BA" w:rsidRDefault="00E430AA" w:rsidP="00E430AA">
      <w:pPr>
        <w:jc w:val="both"/>
        <w:rPr>
          <w:rFonts w:cs="Arial"/>
        </w:rPr>
      </w:pP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Egyéni színfoltot képvisel munkánkban az egyetemek életében is példa nélkül álló, több éves hagyományra visszatekintő, a </w:t>
      </w:r>
      <w:r w:rsidRPr="006136BA">
        <w:rPr>
          <w:rFonts w:cs="Arial"/>
          <w:i/>
        </w:rPr>
        <w:t>Miskolci Egyetemmel</w:t>
      </w:r>
      <w:r w:rsidRPr="006136BA">
        <w:rPr>
          <w:rFonts w:cs="Arial"/>
        </w:rPr>
        <w:t xml:space="preserve"> közösen működtetett </w:t>
      </w:r>
      <w:r w:rsidRPr="006136BA">
        <w:rPr>
          <w:rFonts w:cs="Arial"/>
          <w:b/>
          <w:i/>
        </w:rPr>
        <w:t>K</w:t>
      </w:r>
      <w:r w:rsidRPr="006136BA">
        <w:rPr>
          <w:rFonts w:cs="Arial"/>
          <w:i/>
        </w:rPr>
        <w:t xml:space="preserve">ortárs </w:t>
      </w:r>
      <w:r w:rsidRPr="006136BA">
        <w:rPr>
          <w:rFonts w:cs="Arial"/>
          <w:b/>
          <w:i/>
        </w:rPr>
        <w:t>H</w:t>
      </w:r>
      <w:r w:rsidRPr="006136BA">
        <w:rPr>
          <w:rFonts w:cs="Arial"/>
          <w:i/>
        </w:rPr>
        <w:t>angon</w:t>
      </w:r>
      <w:r w:rsidRPr="006136BA">
        <w:rPr>
          <w:rFonts w:cs="Arial"/>
        </w:rPr>
        <w:t xml:space="preserve"> irodalmi pályázat a költészetnapi válogatott hallgatói kötettel.   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   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  <w:b/>
          <w:i/>
        </w:rPr>
        <w:t>Saját rendezvényeink</w:t>
      </w:r>
      <w:r w:rsidRPr="006136BA">
        <w:rPr>
          <w:rFonts w:cs="Arial"/>
        </w:rPr>
        <w:t xml:space="preserve">kel is a megújulás jegyében nyitottunk a város felé. 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A sort az </w:t>
      </w:r>
      <w:r w:rsidRPr="006136BA">
        <w:rPr>
          <w:rFonts w:cs="Arial"/>
          <w:i/>
        </w:rPr>
        <w:t>ének-zene tanszékünk tavaszi koncertje</w:t>
      </w:r>
      <w:r w:rsidRPr="006136BA">
        <w:rPr>
          <w:rFonts w:cs="Arial"/>
        </w:rPr>
        <w:t xml:space="preserve"> nyitotta meg, majd a tanszék önálló rendezvényeként – az átépítési teremgondok miatt – hagyományossá váltak hangversenyeik a Kálvin Házban.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    </w:t>
      </w:r>
    </w:p>
    <w:p w:rsidR="00E430AA" w:rsidRPr="006136BA" w:rsidRDefault="00E430AA" w:rsidP="00E430AA">
      <w:pPr>
        <w:jc w:val="both"/>
        <w:rPr>
          <w:rFonts w:cs="Arial"/>
          <w:b/>
        </w:rPr>
      </w:pPr>
      <w:r w:rsidRPr="006136BA">
        <w:rPr>
          <w:rFonts w:cs="Arial"/>
        </w:rPr>
        <w:t xml:space="preserve">Kezdeményezésünkre rendszeressé váltak művészeti együtteseink bemutatkozásai az </w:t>
      </w:r>
      <w:r w:rsidRPr="006136BA">
        <w:rPr>
          <w:rFonts w:cs="Arial"/>
          <w:b/>
        </w:rPr>
        <w:t>Egri Kulturális és Művészeti Központban.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Az </w:t>
      </w:r>
      <w:r w:rsidRPr="006136BA">
        <w:rPr>
          <w:rFonts w:cs="Arial"/>
          <w:i/>
        </w:rPr>
        <w:t>AGRIA VOCES</w:t>
      </w:r>
      <w:r w:rsidRPr="006136BA">
        <w:rPr>
          <w:rFonts w:cs="Arial"/>
        </w:rPr>
        <w:t xml:space="preserve"> musical csapatunk Nagy Zoltán hozzáértő szakmai vezetésével nagy sikerű önálló koncertet adott Magyar Dal napján neves vendégművészekkel egy sorban a Széchenyi utcai színpadon. </w:t>
      </w:r>
    </w:p>
    <w:p w:rsidR="00E430AA" w:rsidRPr="006136BA" w:rsidRDefault="00E430AA" w:rsidP="00E430AA">
      <w:pPr>
        <w:jc w:val="both"/>
        <w:rPr>
          <w:rFonts w:cs="Arial"/>
        </w:rPr>
      </w:pP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A </w:t>
      </w:r>
      <w:r w:rsidRPr="006136BA">
        <w:rPr>
          <w:rFonts w:cs="Arial"/>
          <w:b/>
        </w:rPr>
        <w:t>II. félévben UNICULT</w:t>
      </w:r>
      <w:r w:rsidRPr="006136BA">
        <w:rPr>
          <w:rFonts w:cs="Arial"/>
        </w:rPr>
        <w:t xml:space="preserve"> néven új sorozatot indítottunk közösen az </w:t>
      </w:r>
      <w:proofErr w:type="spellStart"/>
      <w:r w:rsidRPr="006136BA">
        <w:rPr>
          <w:rFonts w:cs="Arial"/>
          <w:b/>
        </w:rPr>
        <w:t>EKMK-</w:t>
      </w:r>
      <w:r w:rsidRPr="006136BA">
        <w:rPr>
          <w:rFonts w:cs="Arial"/>
        </w:rPr>
        <w:t>val</w:t>
      </w:r>
      <w:proofErr w:type="spellEnd"/>
      <w:r w:rsidRPr="006136BA">
        <w:rPr>
          <w:rFonts w:cs="Arial"/>
        </w:rPr>
        <w:t>, melynek legfontosabb célja a főiskola művészeti életének bemutatása, megismertetése a város előtt.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    </w:t>
      </w: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 xml:space="preserve">Ennek keretében adott önálló koncertet az </w:t>
      </w:r>
      <w:proofErr w:type="spellStart"/>
      <w:r w:rsidRPr="006136BA">
        <w:rPr>
          <w:rFonts w:cs="Arial"/>
          <w:i/>
        </w:rPr>
        <w:t>Agria</w:t>
      </w:r>
      <w:proofErr w:type="spellEnd"/>
      <w:r w:rsidRPr="006136BA">
        <w:rPr>
          <w:rFonts w:cs="Arial"/>
          <w:i/>
        </w:rPr>
        <w:t xml:space="preserve"> </w:t>
      </w:r>
      <w:proofErr w:type="spellStart"/>
      <w:r w:rsidRPr="006136BA">
        <w:rPr>
          <w:rFonts w:cs="Arial"/>
          <w:i/>
        </w:rPr>
        <w:t>Voces</w:t>
      </w:r>
      <w:proofErr w:type="spellEnd"/>
      <w:r w:rsidRPr="006136BA">
        <w:rPr>
          <w:rFonts w:cs="Arial"/>
          <w:i/>
        </w:rPr>
        <w:t xml:space="preserve">, </w:t>
      </w:r>
      <w:r w:rsidRPr="006136BA">
        <w:rPr>
          <w:rFonts w:cs="Arial"/>
        </w:rPr>
        <w:t xml:space="preserve">elkezdte jubileumi – 5 éves – </w:t>
      </w:r>
      <w:proofErr w:type="spellStart"/>
      <w:r w:rsidRPr="006136BA">
        <w:rPr>
          <w:rFonts w:cs="Arial"/>
        </w:rPr>
        <w:t>bemutatósorozatát</w:t>
      </w:r>
      <w:proofErr w:type="spellEnd"/>
      <w:r w:rsidRPr="006136BA">
        <w:rPr>
          <w:rFonts w:cs="Arial"/>
        </w:rPr>
        <w:t xml:space="preserve"> a </w:t>
      </w:r>
      <w:r w:rsidRPr="006136BA">
        <w:rPr>
          <w:rFonts w:cs="Arial"/>
          <w:i/>
        </w:rPr>
        <w:t>Szuszogó Színház</w:t>
      </w:r>
      <w:r w:rsidRPr="006136BA">
        <w:rPr>
          <w:rFonts w:cs="Arial"/>
        </w:rPr>
        <w:t xml:space="preserve">unk, s egy 3 éves tematikus </w:t>
      </w:r>
      <w:r w:rsidRPr="006136BA">
        <w:rPr>
          <w:rFonts w:cs="Arial"/>
          <w:b/>
          <w:i/>
        </w:rPr>
        <w:t>E</w:t>
      </w:r>
      <w:r w:rsidRPr="006136BA">
        <w:rPr>
          <w:rFonts w:cs="Arial"/>
          <w:i/>
        </w:rPr>
        <w:t xml:space="preserve">gyetemi </w:t>
      </w:r>
      <w:r w:rsidRPr="006136BA">
        <w:rPr>
          <w:rFonts w:cs="Arial"/>
          <w:b/>
          <w:i/>
        </w:rPr>
        <w:t>T</w:t>
      </w:r>
      <w:r w:rsidRPr="006136BA">
        <w:rPr>
          <w:rFonts w:cs="Arial"/>
          <w:i/>
        </w:rPr>
        <w:t>áncszínház</w:t>
      </w:r>
      <w:r w:rsidRPr="006136BA">
        <w:rPr>
          <w:rFonts w:cs="Arial"/>
        </w:rPr>
        <w:t xml:space="preserve"> sorozatát az </w:t>
      </w:r>
      <w:r w:rsidRPr="006136BA">
        <w:rPr>
          <w:rFonts w:cs="Arial"/>
          <w:i/>
        </w:rPr>
        <w:t>Egres Néptánc Együttesünk.</w:t>
      </w:r>
      <w:r w:rsidRPr="006136BA">
        <w:rPr>
          <w:rFonts w:cs="Arial"/>
        </w:rPr>
        <w:t xml:space="preserve"> Ez a sorozat a társegyetemek csoportjaival közösen egy közeljövőben főiskolánkon rendezendő </w:t>
      </w:r>
      <w:r w:rsidRPr="006136BA">
        <w:rPr>
          <w:rFonts w:cs="Arial"/>
          <w:i/>
        </w:rPr>
        <w:t>Nemzetközi Néptánc Fesztivál</w:t>
      </w:r>
      <w:r w:rsidRPr="006136BA">
        <w:rPr>
          <w:rFonts w:cs="Arial"/>
        </w:rPr>
        <w:t xml:space="preserve"> szakmai alapozása.</w:t>
      </w:r>
    </w:p>
    <w:p w:rsidR="00E430AA" w:rsidRPr="006136BA" w:rsidRDefault="00E430AA" w:rsidP="00E430AA">
      <w:pPr>
        <w:jc w:val="both"/>
        <w:rPr>
          <w:rFonts w:cs="Arial"/>
        </w:rPr>
      </w:pPr>
    </w:p>
    <w:p w:rsidR="00E430AA" w:rsidRPr="006136BA" w:rsidRDefault="00E430AA" w:rsidP="00E430AA">
      <w:pPr>
        <w:jc w:val="both"/>
        <w:rPr>
          <w:rFonts w:cs="Arial"/>
        </w:rPr>
      </w:pPr>
      <w:r w:rsidRPr="006136BA">
        <w:rPr>
          <w:rFonts w:cs="Arial"/>
        </w:rPr>
        <w:t>Nem kerülte el figyelmünket, hogy megjelent egykori tanszékvezetőnk</w:t>
      </w:r>
      <w:proofErr w:type="gramStart"/>
      <w:r w:rsidRPr="006136BA">
        <w:rPr>
          <w:rFonts w:cs="Arial"/>
        </w:rPr>
        <w:t>,</w:t>
      </w:r>
      <w:r w:rsidRPr="006136BA">
        <w:rPr>
          <w:rFonts w:cs="Arial"/>
          <w:b/>
        </w:rPr>
        <w:t>Nagy</w:t>
      </w:r>
      <w:proofErr w:type="gramEnd"/>
      <w:r w:rsidRPr="006136BA">
        <w:rPr>
          <w:rFonts w:cs="Arial"/>
          <w:b/>
        </w:rPr>
        <w:t xml:space="preserve"> B. István életműalbuma</w:t>
      </w:r>
      <w:r w:rsidRPr="006136BA">
        <w:rPr>
          <w:rFonts w:cs="Arial"/>
        </w:rPr>
        <w:t xml:space="preserve">, melyet egy </w:t>
      </w:r>
      <w:proofErr w:type="spellStart"/>
      <w:r w:rsidRPr="006136BA">
        <w:rPr>
          <w:rFonts w:cs="Arial"/>
        </w:rPr>
        <w:t>kamarakiállítás</w:t>
      </w:r>
      <w:proofErr w:type="spellEnd"/>
      <w:r w:rsidRPr="006136BA">
        <w:rPr>
          <w:rFonts w:cs="Arial"/>
        </w:rPr>
        <w:t xml:space="preserve"> keretében mutattunk be az UNICULT sorozatban az EKMK Forrás Galériájában. </w:t>
      </w:r>
    </w:p>
    <w:p w:rsidR="00E430AA" w:rsidRDefault="00E430AA" w:rsidP="00E430AA">
      <w:pPr>
        <w:jc w:val="both"/>
        <w:rPr>
          <w:rFonts w:cs="Arial"/>
        </w:rPr>
      </w:pPr>
    </w:p>
    <w:p w:rsidR="00820B31" w:rsidRDefault="00820B31" w:rsidP="00E430AA">
      <w:pPr>
        <w:jc w:val="both"/>
        <w:rPr>
          <w:rFonts w:cs="Arial"/>
        </w:rPr>
      </w:pPr>
      <w:r>
        <w:rPr>
          <w:rFonts w:cs="Arial"/>
        </w:rPr>
        <w:t xml:space="preserve">Férfi kosárlabda csapatunk, vízilabda csapatunk, női-férfi kézilabda csapatunk eredményesen szerepelt a Nemzeti </w:t>
      </w:r>
      <w:proofErr w:type="gramStart"/>
      <w:r>
        <w:rPr>
          <w:rFonts w:cs="Arial"/>
        </w:rPr>
        <w:t>Bajnokság különböző</w:t>
      </w:r>
      <w:proofErr w:type="gramEnd"/>
      <w:r>
        <w:rPr>
          <w:rFonts w:cs="Arial"/>
        </w:rPr>
        <w:t xml:space="preserve"> osztályaiban.</w:t>
      </w:r>
    </w:p>
    <w:p w:rsidR="00820B31" w:rsidRPr="006136BA" w:rsidRDefault="00820B31" w:rsidP="00E430AA">
      <w:pPr>
        <w:jc w:val="both"/>
        <w:rPr>
          <w:rFonts w:cs="Arial"/>
        </w:rPr>
      </w:pPr>
    </w:p>
    <w:p w:rsidR="00820B31" w:rsidRPr="00820B31" w:rsidRDefault="00820B31" w:rsidP="00E430AA">
      <w:pPr>
        <w:jc w:val="both"/>
        <w:rPr>
          <w:b/>
          <w:iCs/>
        </w:rPr>
      </w:pPr>
      <w:r>
        <w:rPr>
          <w:iCs/>
        </w:rPr>
        <w:t xml:space="preserve">   </w:t>
      </w:r>
      <w:r w:rsidRPr="00820B31">
        <w:rPr>
          <w:b/>
          <w:iCs/>
        </w:rPr>
        <w:t>1.2.5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 </w:t>
      </w:r>
      <w:r w:rsidRPr="006136BA">
        <w:rPr>
          <w:b/>
          <w:iCs/>
        </w:rPr>
        <w:t>kollégiumi férőhely</w:t>
      </w:r>
      <w:r w:rsidRPr="006136BA">
        <w:rPr>
          <w:iCs/>
        </w:rPr>
        <w:t xml:space="preserve">ek száma 2010-ben nem változott. A „PPP” kollégiumok és az </w:t>
      </w:r>
      <w:proofErr w:type="spellStart"/>
      <w:r w:rsidRPr="006136BA">
        <w:rPr>
          <w:iCs/>
        </w:rPr>
        <w:t>Almagyardombi</w:t>
      </w:r>
      <w:proofErr w:type="spellEnd"/>
      <w:r w:rsidRPr="006136BA">
        <w:rPr>
          <w:iCs/>
        </w:rPr>
        <w:t xml:space="preserve"> kollégium kihasználtsága 100%-os, de az alacsony komfortfokozatú Sas úti kollégiumban a tanév minden szakában találhatók üres férőhelyek.</w:t>
      </w:r>
    </w:p>
    <w:p w:rsidR="00E430A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1.3. Az oktatás színvonalát döntően meghatározza oktatóink minősítettsége.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iCs/>
        </w:rPr>
      </w:pPr>
    </w:p>
    <w:tbl>
      <w:tblPr>
        <w:tblW w:w="0" w:type="auto"/>
        <w:jc w:val="center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1726"/>
      </w:tblGrid>
      <w:tr w:rsidR="00E430AA" w:rsidRPr="006136BA" w:rsidTr="00820B31">
        <w:trPr>
          <w:jc w:val="center"/>
        </w:trPr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Minősítettség</w:t>
            </w:r>
          </w:p>
        </w:tc>
        <w:tc>
          <w:tcPr>
            <w:tcW w:w="17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Létszám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egyetemi tanár nagydoktor</w:t>
            </w:r>
          </w:p>
        </w:tc>
        <w:tc>
          <w:tcPr>
            <w:tcW w:w="1726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9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 xml:space="preserve">egyetemi tanár kandidátus </w:t>
            </w:r>
            <w:proofErr w:type="spellStart"/>
            <w:r w:rsidRPr="006136BA">
              <w:rPr>
                <w:bCs/>
                <w:iCs/>
              </w:rPr>
              <w:t>habil</w:t>
            </w:r>
            <w:proofErr w:type="spellEnd"/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7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egyetemei docens kandidátus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10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tanár kandidátus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10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 xml:space="preserve">főiskolai tanár PhD </w:t>
            </w:r>
            <w:proofErr w:type="spellStart"/>
            <w:r w:rsidRPr="006136BA">
              <w:rPr>
                <w:bCs/>
                <w:iCs/>
              </w:rPr>
              <w:t>habil</w:t>
            </w:r>
            <w:proofErr w:type="spellEnd"/>
            <w:r w:rsidRPr="006136BA">
              <w:rPr>
                <w:bCs/>
                <w:iCs/>
              </w:rPr>
              <w:t>.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17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tanár PhD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42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tanár Munkácsy M.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-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Táncsics M.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1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docens PhD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55</w:t>
            </w:r>
          </w:p>
        </w:tc>
      </w:tr>
      <w:tr w:rsidR="00E430AA" w:rsidRPr="006136BA" w:rsidTr="00820B31">
        <w:trPr>
          <w:jc w:val="center"/>
        </w:trPr>
        <w:tc>
          <w:tcPr>
            <w:tcW w:w="3689" w:type="dxa"/>
            <w:tcBorders>
              <w:lef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docens Munkácsy M.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6</w:t>
            </w:r>
          </w:p>
        </w:tc>
      </w:tr>
      <w:tr w:rsidR="00E430AA" w:rsidRPr="006136BA" w:rsidTr="00820B31">
        <w:trPr>
          <w:trHeight w:val="70"/>
          <w:jc w:val="center"/>
        </w:trPr>
        <w:tc>
          <w:tcPr>
            <w:tcW w:w="3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0AA" w:rsidRPr="006136BA" w:rsidRDefault="00E430AA" w:rsidP="00820B31">
            <w:pPr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főiskolai adjunktus PhD</w:t>
            </w:r>
          </w:p>
        </w:tc>
        <w:tc>
          <w:tcPr>
            <w:tcW w:w="172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30AA" w:rsidRPr="006136BA" w:rsidRDefault="00E430AA" w:rsidP="00820B31">
            <w:pPr>
              <w:spacing w:line="360" w:lineRule="auto"/>
              <w:jc w:val="center"/>
              <w:rPr>
                <w:bCs/>
                <w:iCs/>
              </w:rPr>
            </w:pPr>
            <w:r w:rsidRPr="006136BA">
              <w:rPr>
                <w:bCs/>
                <w:iCs/>
              </w:rPr>
              <w:t>28</w:t>
            </w:r>
          </w:p>
        </w:tc>
      </w:tr>
    </w:tbl>
    <w:p w:rsidR="00E430AA" w:rsidRPr="006136BA" w:rsidRDefault="00E430AA" w:rsidP="00E430AA">
      <w:pPr>
        <w:spacing w:line="360" w:lineRule="auto"/>
        <w:jc w:val="both"/>
        <w:rPr>
          <w:iCs/>
        </w:rPr>
      </w:pPr>
      <w:r w:rsidRPr="006136BA">
        <w:rPr>
          <w:iCs/>
        </w:rPr>
        <w:tab/>
      </w:r>
      <w:r w:rsidRPr="006136BA">
        <w:rPr>
          <w:iCs/>
        </w:rPr>
        <w:tab/>
      </w:r>
      <w:r w:rsidRPr="006136BA">
        <w:rPr>
          <w:iCs/>
        </w:rPr>
        <w:tab/>
      </w:r>
      <w:r w:rsidRPr="006136BA">
        <w:rPr>
          <w:iCs/>
        </w:rPr>
        <w:tab/>
      </w:r>
      <w:r w:rsidRPr="006136BA">
        <w:rPr>
          <w:iCs/>
        </w:rPr>
        <w:tab/>
      </w:r>
      <w:r w:rsidRPr="006136BA">
        <w:rPr>
          <w:iCs/>
        </w:rPr>
        <w:tab/>
      </w:r>
      <w:r w:rsidRPr="006136BA">
        <w:rPr>
          <w:iCs/>
        </w:rPr>
        <w:tab/>
        <w:t xml:space="preserve">          Összesen</w:t>
      </w:r>
      <w:proofErr w:type="gramStart"/>
      <w:r w:rsidRPr="006136BA">
        <w:rPr>
          <w:iCs/>
        </w:rPr>
        <w:t>:  185</w:t>
      </w:r>
      <w:proofErr w:type="gramEnd"/>
      <w:r w:rsidRPr="006136BA">
        <w:rPr>
          <w:iCs/>
        </w:rPr>
        <w:t xml:space="preserve"> fő</w:t>
      </w:r>
    </w:p>
    <w:p w:rsidR="00E430AA" w:rsidRPr="006136BA" w:rsidRDefault="00E430AA" w:rsidP="00E430AA">
      <w:pPr>
        <w:jc w:val="both"/>
      </w:pPr>
      <w:r w:rsidRPr="006136BA">
        <w:t xml:space="preserve">A fenntartói megállapodásban célul tűztük ki, hogy legyen a főiskolai szféra egyik legjobb tudományos minősítettségi mutatóval bíró intézménye az EKF. 2010-ben újabb 10 fiatal kollégánk szerzett PhD/DLA fokozatot, továbbá a minősítéssel belépő új kollégákkal a </w:t>
      </w:r>
      <w:r w:rsidRPr="006136BA">
        <w:rPr>
          <w:b/>
        </w:rPr>
        <w:t>minősítettségi arányunk a 2007-es 50%-ról 66,8%-ra nőtt</w:t>
      </w:r>
      <w:r w:rsidRPr="006136BA">
        <w:t>, továbbá 5</w:t>
      </w:r>
      <w:r w:rsidRPr="006136BA">
        <w:rPr>
          <w:b/>
        </w:rPr>
        <w:t xml:space="preserve"> új habilitált doktori cím</w:t>
      </w:r>
      <w:r w:rsidRPr="006136BA">
        <w:t xml:space="preserve"> is született. 2010-ben 5 újabb egyetemi tanárt nevezett ki a köztársasági elnök az </w:t>
      </w:r>
      <w:proofErr w:type="spellStart"/>
      <w:r w:rsidRPr="006136BA">
        <w:t>EKF-re</w:t>
      </w:r>
      <w:proofErr w:type="spellEnd"/>
      <w:r w:rsidRPr="006136BA">
        <w:t xml:space="preserve">, tovább erősítve ezzel a professzori karunkat. Kiemelendő, hogy 2010-től már 6 kollégánk szerepel abban az intézményi támogatási programunkban, amelynek célja az intézmény legtehetségesebb oktatóit eljuttatni az MTA doktora tudományos cím megszerzéséhez. </w:t>
      </w:r>
    </w:p>
    <w:p w:rsidR="00E430AA" w:rsidRPr="006136BA" w:rsidRDefault="00E430AA" w:rsidP="00E430AA">
      <w:pPr>
        <w:jc w:val="both"/>
      </w:pPr>
    </w:p>
    <w:p w:rsidR="00E430AA" w:rsidRPr="006136BA" w:rsidRDefault="00E430AA" w:rsidP="00E430AA">
      <w:pPr>
        <w:jc w:val="both"/>
      </w:pPr>
      <w:r w:rsidRPr="006136BA">
        <w:t xml:space="preserve">Az EGERFOOD Regionális Tudásközpont a régió és az ország meghatározó </w:t>
      </w:r>
      <w:proofErr w:type="spellStart"/>
      <w:r w:rsidRPr="006136BA">
        <w:t>szakmaspecifikus</w:t>
      </w:r>
      <w:proofErr w:type="spellEnd"/>
      <w:r w:rsidRPr="006136BA">
        <w:t xml:space="preserve"> klaszterközpontjaként működik az élelmiszertudományok, élelmiszerbiztonsági technológiák és a </w:t>
      </w:r>
      <w:proofErr w:type="spellStart"/>
      <w:r w:rsidRPr="006136BA">
        <w:t>bioanalitika</w:t>
      </w:r>
      <w:proofErr w:type="spellEnd"/>
      <w:r w:rsidRPr="006136BA">
        <w:t xml:space="preserve"> vonatkozásában, amit az is jelez, hogy új szabadalmi eljárásokat indított funkcionális élelmiszerek kifejlesztésével és egyedi </w:t>
      </w:r>
      <w:proofErr w:type="spellStart"/>
      <w:r w:rsidRPr="006136BA">
        <w:t>bioszenzorikus</w:t>
      </w:r>
      <w:proofErr w:type="spellEnd"/>
      <w:r w:rsidRPr="006136BA">
        <w:t xml:space="preserve"> mérőműszerek prototípusának kidolgozásával kapcsolatosan. A bejelentett szabadalmaik száma és ismertségük alapján 2010-ben elnyerték a Régió Innovációs Díját.</w:t>
      </w:r>
    </w:p>
    <w:p w:rsidR="00E430AA" w:rsidRPr="006136BA" w:rsidRDefault="00E430AA" w:rsidP="00E430AA">
      <w:pPr>
        <w:jc w:val="both"/>
      </w:pPr>
    </w:p>
    <w:p w:rsidR="00E430AA" w:rsidRPr="006136BA" w:rsidRDefault="00F62251" w:rsidP="00E430AA">
      <w:pPr>
        <w:jc w:val="both"/>
        <w:rPr>
          <w:iCs/>
        </w:rPr>
      </w:pPr>
      <w:r>
        <w:rPr>
          <w:b/>
          <w:iCs/>
        </w:rPr>
        <w:t xml:space="preserve">   </w:t>
      </w:r>
      <w:r w:rsidR="00E430AA" w:rsidRPr="006136BA">
        <w:rPr>
          <w:b/>
          <w:iCs/>
        </w:rPr>
        <w:t>1.3.1. Az intézményen belül a szervezeti és a feladatstruktúra korszerűsítésére tett intézkedések.</w:t>
      </w:r>
      <w:r w:rsidR="00E430AA" w:rsidRPr="006136BA">
        <w:rPr>
          <w:iCs/>
        </w:rPr>
        <w:t xml:space="preserve"> </w:t>
      </w:r>
    </w:p>
    <w:p w:rsidR="00E430AA" w:rsidRPr="006136BA" w:rsidRDefault="00E430AA" w:rsidP="00E430AA">
      <w:pPr>
        <w:jc w:val="both"/>
      </w:pPr>
      <w:r w:rsidRPr="006136BA">
        <w:t xml:space="preserve">A 2010. évben tovább folytattuk a szervezeti rendszer korszerűsítését az átláthatóság, a felelősségi viszonyok </w:t>
      </w:r>
      <w:proofErr w:type="spellStart"/>
      <w:r w:rsidRPr="006136BA">
        <w:t>egyértelműbbé</w:t>
      </w:r>
      <w:proofErr w:type="spellEnd"/>
      <w:r w:rsidRPr="006136BA">
        <w:t xml:space="preserve"> tétele, a funkcionális kapcsolatok erősítése érdekében.</w:t>
      </w:r>
    </w:p>
    <w:p w:rsidR="00E430AA" w:rsidRPr="006136BA" w:rsidRDefault="00E430AA" w:rsidP="00E430AA">
      <w:pPr>
        <w:jc w:val="both"/>
      </w:pPr>
      <w:r w:rsidRPr="006136BA">
        <w:lastRenderedPageBreak/>
        <w:t xml:space="preserve">A Természettudományi Karon a képzési és kutatási feladatok figyelembe vételével alakultak át az intézményi szervezetek, új intézet és tanszékek jöttek létre, és valamennyi tanszék intézeti szervezetbe került. </w:t>
      </w:r>
    </w:p>
    <w:p w:rsidR="00E430AA" w:rsidRPr="006136BA" w:rsidRDefault="00E430AA" w:rsidP="00E430AA">
      <w:pPr>
        <w:jc w:val="both"/>
      </w:pPr>
      <w:r w:rsidRPr="006136BA">
        <w:t xml:space="preserve">A </w:t>
      </w:r>
      <w:proofErr w:type="spellStart"/>
      <w:r w:rsidRPr="006136BA">
        <w:t>TKTK-n</w:t>
      </w:r>
      <w:proofErr w:type="spellEnd"/>
      <w:r w:rsidRPr="006136BA">
        <w:t xml:space="preserve"> új tanszék létesült Kisebbségtudományi Tanszék névvel.</w:t>
      </w:r>
    </w:p>
    <w:p w:rsidR="00E430AA" w:rsidRPr="006136BA" w:rsidRDefault="00E430AA" w:rsidP="00E430AA">
      <w:pPr>
        <w:jc w:val="both"/>
      </w:pPr>
      <w:r w:rsidRPr="006136BA">
        <w:t xml:space="preserve">Az Integrált Természettudományi Szolgáltató és Kutató Centrum megszűnt, tevékenysége az EGERFOOD Regionális Tudásközponthoz került. Utóbbi felügyeletét a rektorhoz, a </w:t>
      </w:r>
      <w:proofErr w:type="spellStart"/>
      <w:r w:rsidRPr="006136BA">
        <w:t>Bryológiai</w:t>
      </w:r>
      <w:proofErr w:type="spellEnd"/>
      <w:r w:rsidRPr="006136BA">
        <w:t xml:space="preserve"> Kutatócsoportét a dékánhoz helyeztük.</w:t>
      </w:r>
    </w:p>
    <w:p w:rsidR="00E430AA" w:rsidRPr="006136BA" w:rsidRDefault="00E430AA" w:rsidP="00E430AA">
      <w:pPr>
        <w:jc w:val="both"/>
      </w:pPr>
      <w:r w:rsidRPr="006136BA">
        <w:t xml:space="preserve">A karokon megszerveződtek a dékáni hivatalok és megkezdték működésüket. </w:t>
      </w:r>
    </w:p>
    <w:p w:rsidR="00E430AA" w:rsidRPr="006136BA" w:rsidRDefault="00E430AA" w:rsidP="00E430AA">
      <w:pPr>
        <w:jc w:val="both"/>
      </w:pPr>
      <w:r w:rsidRPr="006136BA">
        <w:t xml:space="preserve">A Tanulmányi és Információs Központ belső szervezetét átalakítottuk, </w:t>
      </w:r>
      <w:proofErr w:type="spellStart"/>
      <w:r w:rsidRPr="006136BA">
        <w:t>egyértelműbbé</w:t>
      </w:r>
      <w:proofErr w:type="spellEnd"/>
      <w:r w:rsidRPr="006136BA">
        <w:t xml:space="preserve"> téve az egyes csoportok feladatát, felelősségét, felügyeleti kérdéseit. A Központhoz kerültek a hallgatói szolgáltatásokat végző, korábban különálló részlegek is.</w:t>
      </w:r>
    </w:p>
    <w:p w:rsidR="00E430AA" w:rsidRPr="006136BA" w:rsidRDefault="00E430AA" w:rsidP="00E430AA">
      <w:pPr>
        <w:jc w:val="both"/>
      </w:pPr>
      <w:r w:rsidRPr="006136BA">
        <w:t>Megalakult az intézmény első doktori iskolája, létrejött a Professzorok Tanácsa. Az év végén a Szenátus kezdeményezte a második, a Neveléstudományi doktori iskola létesítését.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1.4. Fenntartói Megállapodás első évének értékelése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2007. december 13-án az Oktatási és Kulturális Minisztérium és a főiskola fenntartói megállapodást </w:t>
      </w:r>
      <w:proofErr w:type="gramStart"/>
      <w:r w:rsidRPr="006136BA">
        <w:rPr>
          <w:iCs/>
        </w:rPr>
        <w:t>kötött</w:t>
      </w:r>
      <w:proofErr w:type="gramEnd"/>
      <w:r w:rsidRPr="006136BA">
        <w:rPr>
          <w:iCs/>
        </w:rPr>
        <w:t xml:space="preserve"> amely rögzíti, hogy 2008/2009/2010-ben milyen állandó és változó jellegű támogatást nyújt az intézmény részére. Ennek feltétele az általunk vállalt teljesítménycélok teljesítése, aminek értékelését a (</w:t>
      </w:r>
      <w:r w:rsidRPr="006136BA">
        <w:rPr>
          <w:i/>
          <w:iCs/>
        </w:rPr>
        <w:t xml:space="preserve">2 számú </w:t>
      </w:r>
      <w:proofErr w:type="gramStart"/>
      <w:r w:rsidRPr="006136BA">
        <w:rPr>
          <w:i/>
          <w:iCs/>
        </w:rPr>
        <w:t>melléklet</w:t>
      </w:r>
      <w:r w:rsidRPr="006136BA">
        <w:rPr>
          <w:iCs/>
        </w:rPr>
        <w:t xml:space="preserve"> )</w:t>
      </w:r>
      <w:proofErr w:type="gramEnd"/>
      <w:r w:rsidRPr="006136BA">
        <w:rPr>
          <w:iCs/>
        </w:rPr>
        <w:t xml:space="preserve"> tartalmazza.</w:t>
      </w:r>
    </w:p>
    <w:p w:rsidR="00E430AA" w:rsidRPr="006136BA" w:rsidRDefault="00E430AA" w:rsidP="00E430AA">
      <w:pPr>
        <w:spacing w:line="360" w:lineRule="auto"/>
        <w:jc w:val="both"/>
        <w:rPr>
          <w:b/>
          <w:iCs/>
        </w:rPr>
      </w:pPr>
    </w:p>
    <w:p w:rsidR="00E430AA" w:rsidRPr="006136BA" w:rsidRDefault="00E430AA" w:rsidP="00E430AA">
      <w:pPr>
        <w:spacing w:line="360" w:lineRule="auto"/>
        <w:jc w:val="both"/>
        <w:rPr>
          <w:iCs/>
        </w:rPr>
      </w:pPr>
      <w:r w:rsidRPr="006136BA">
        <w:rPr>
          <w:b/>
          <w:iCs/>
        </w:rPr>
        <w:t>2</w:t>
      </w:r>
      <w:r w:rsidRPr="006136BA">
        <w:rPr>
          <w:iCs/>
        </w:rPr>
        <w:t xml:space="preserve">. </w:t>
      </w:r>
      <w:r w:rsidRPr="006136BA">
        <w:rPr>
          <w:b/>
          <w:iCs/>
        </w:rPr>
        <w:t>Előirányzat kimutatás</w:t>
      </w:r>
    </w:p>
    <w:p w:rsidR="00D37ADD" w:rsidRDefault="00D37ADD" w:rsidP="00E430AA">
      <w:pPr>
        <w:pStyle w:val="Cmsor1"/>
        <w:tabs>
          <w:tab w:val="left" w:pos="0"/>
        </w:tabs>
        <w:jc w:val="center"/>
        <w:rPr>
          <w:bCs w:val="0"/>
        </w:rPr>
      </w:pPr>
    </w:p>
    <w:p w:rsidR="00D37ADD" w:rsidRDefault="00D37ADD" w:rsidP="00E430AA">
      <w:pPr>
        <w:pStyle w:val="Cmsor1"/>
        <w:tabs>
          <w:tab w:val="left" w:pos="0"/>
        </w:tabs>
        <w:jc w:val="center"/>
        <w:rPr>
          <w:bCs w:val="0"/>
        </w:rPr>
      </w:pPr>
    </w:p>
    <w:p w:rsidR="00E430AA" w:rsidRPr="006136BA" w:rsidRDefault="00E430AA" w:rsidP="00E430AA">
      <w:pPr>
        <w:pStyle w:val="Cmsor1"/>
        <w:tabs>
          <w:tab w:val="left" w:pos="0"/>
        </w:tabs>
        <w:jc w:val="center"/>
        <w:rPr>
          <w:bCs w:val="0"/>
        </w:rPr>
      </w:pPr>
      <w:r w:rsidRPr="006136BA">
        <w:rPr>
          <w:bCs w:val="0"/>
        </w:rPr>
        <w:t>KIMUTATÁS</w:t>
      </w:r>
    </w:p>
    <w:p w:rsidR="00E430AA" w:rsidRPr="006136BA" w:rsidRDefault="00E430AA" w:rsidP="00E430AA">
      <w:pPr>
        <w:tabs>
          <w:tab w:val="left" w:pos="0"/>
        </w:tabs>
        <w:jc w:val="center"/>
      </w:pPr>
      <w:proofErr w:type="gramStart"/>
      <w:r w:rsidRPr="006136BA">
        <w:t>az</w:t>
      </w:r>
      <w:proofErr w:type="gramEnd"/>
      <w:r w:rsidRPr="006136BA">
        <w:t xml:space="preserve"> intézmény 2010. évi főbb előirányzatainak alakulásáról</w:t>
      </w:r>
    </w:p>
    <w:p w:rsidR="00E430AA" w:rsidRPr="00F62251" w:rsidRDefault="00E430AA" w:rsidP="00F62251">
      <w:pPr>
        <w:jc w:val="right"/>
        <w:rPr>
          <w:i/>
        </w:rPr>
      </w:pPr>
      <w:r w:rsidRPr="006136BA">
        <w:tab/>
      </w:r>
      <w:proofErr w:type="gramStart"/>
      <w:r w:rsidR="00F62251">
        <w:rPr>
          <w:i/>
        </w:rPr>
        <w:t>adatok</w:t>
      </w:r>
      <w:proofErr w:type="gramEnd"/>
      <w:r w:rsidR="00F62251">
        <w:rPr>
          <w:i/>
        </w:rPr>
        <w:t xml:space="preserve"> </w:t>
      </w:r>
      <w:proofErr w:type="spellStart"/>
      <w:r w:rsidR="00F62251">
        <w:rPr>
          <w:i/>
        </w:rPr>
        <w:t>eFt-ban</w:t>
      </w:r>
      <w:proofErr w:type="spellEnd"/>
    </w:p>
    <w:tbl>
      <w:tblPr>
        <w:tblW w:w="9924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1"/>
        <w:gridCol w:w="2392"/>
        <w:gridCol w:w="2330"/>
        <w:gridCol w:w="1761"/>
      </w:tblGrid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DD" w:rsidRDefault="00E430AA" w:rsidP="00820B31">
            <w:pPr>
              <w:tabs>
                <w:tab w:val="left" w:pos="0"/>
              </w:tabs>
              <w:jc w:val="center"/>
            </w:pPr>
            <w:r w:rsidRPr="006136BA">
              <w:t xml:space="preserve">2010. évi 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center"/>
            </w:pPr>
            <w:r w:rsidRPr="006136BA">
              <w:t>Eredeti előirányzat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DD" w:rsidRDefault="00E430AA" w:rsidP="00820B31">
            <w:pPr>
              <w:tabs>
                <w:tab w:val="left" w:pos="0"/>
              </w:tabs>
              <w:jc w:val="center"/>
            </w:pPr>
            <w:r w:rsidRPr="006136BA">
              <w:t xml:space="preserve">2010. évi 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center"/>
            </w:pPr>
            <w:r w:rsidRPr="006136BA">
              <w:t>Módosított előirányzat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pStyle w:val="Cmsor3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 w:rsidRPr="006136BA">
              <w:t>2010. évi teljesítés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pStyle w:val="Cmsor1"/>
              <w:tabs>
                <w:tab w:val="left" w:pos="0"/>
              </w:tabs>
              <w:rPr>
                <w:b w:val="0"/>
                <w:bCs w:val="0"/>
              </w:rPr>
            </w:pPr>
            <w:r w:rsidRPr="006136BA">
              <w:rPr>
                <w:b w:val="0"/>
                <w:bCs w:val="0"/>
              </w:rPr>
              <w:t>Kiadások összesen *: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5 402 102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7 476 433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6 291 173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Működési kiadások összesen: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5 189 257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6 478 707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5 537 912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- ebből személyi juttatások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2 077 865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2 732 673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2 634 511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 xml:space="preserve">            dologi kiadások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1 885 800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2 384 445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1 690 729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Felhalmozási kiadások összesen: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211 345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995 206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751 141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- intézményi beruházási kiadások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181 345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676 350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665 317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- központi beruházás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55 000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55 000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- felújítás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30 000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263 856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30 824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numPr>
                <w:ilvl w:val="0"/>
                <w:numId w:val="6"/>
              </w:numPr>
              <w:tabs>
                <w:tab w:val="left" w:pos="0"/>
              </w:tabs>
            </w:pPr>
            <w:r w:rsidRPr="006136BA">
              <w:t>egyéb intézményi felhalmozási kiadások</w:t>
            </w:r>
          </w:p>
          <w:p w:rsidR="00E430AA" w:rsidRPr="006136BA" w:rsidRDefault="00E430AA" w:rsidP="00820B31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10"/>
              </w:tabs>
              <w:ind w:hanging="720"/>
            </w:pPr>
            <w:r w:rsidRPr="006136BA">
              <w:t>részesedések</w:t>
            </w:r>
          </w:p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lakáskölcsön</w:t>
            </w:r>
          </w:p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kincstárjegy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1 500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2 520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2 120</w:t>
            </w:r>
          </w:p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2009. évi tényleges maradvány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609 880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477 982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pStyle w:val="Cmsor1"/>
              <w:tabs>
                <w:tab w:val="left" w:pos="0"/>
              </w:tabs>
              <w:rPr>
                <w:b w:val="0"/>
                <w:bCs w:val="0"/>
              </w:rPr>
            </w:pPr>
            <w:r w:rsidRPr="006136BA">
              <w:rPr>
                <w:b w:val="0"/>
                <w:bCs w:val="0"/>
              </w:rPr>
              <w:t>Bevételek összesen: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5 402 102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7 476 433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7 264 338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Támogatás</w:t>
            </w:r>
          </w:p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támogatás értékű bevételek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428 800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1 174 480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1 113 854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Működési bevételek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878 428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1 215 890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1 196 639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Átvett pénzeszközök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 xml:space="preserve">         - működési célra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35 000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59 363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59 363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 xml:space="preserve">         - felhalmozási célra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34 000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36 635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36 635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lastRenderedPageBreak/>
              <w:t xml:space="preserve">Tárgyi </w:t>
            </w:r>
            <w:proofErr w:type="gramStart"/>
            <w:r w:rsidRPr="006136BA">
              <w:t>eszköz értékesítés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4 193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4 273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egyéb (pénzmaradvány átvétel)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-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lakáskölcsön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1 500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2 520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2 120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tabs>
                <w:tab w:val="left" w:pos="0"/>
              </w:tabs>
            </w:pPr>
            <w:r w:rsidRPr="006136BA">
              <w:t>Pénzmaradvány igénybevétele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609 880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right"/>
            </w:pPr>
            <w:r w:rsidRPr="006136BA">
              <w:t>477 982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0AA" w:rsidRPr="006136BA" w:rsidRDefault="00E430AA" w:rsidP="00820B31">
            <w:pPr>
              <w:pStyle w:val="Cmsor2"/>
              <w:tabs>
                <w:tab w:val="left" w:pos="0"/>
              </w:tabs>
              <w:jc w:val="left"/>
              <w:rPr>
                <w:b/>
                <w:bCs/>
                <w:i w:val="0"/>
                <w:iCs w:val="0"/>
              </w:rPr>
            </w:pPr>
            <w:proofErr w:type="gramStart"/>
            <w:r w:rsidRPr="006136BA">
              <w:rPr>
                <w:b/>
                <w:bCs/>
                <w:i w:val="0"/>
                <w:iCs w:val="0"/>
              </w:rPr>
              <w:t>Létszám(</w:t>
            </w:r>
            <w:proofErr w:type="gramEnd"/>
            <w:r w:rsidRPr="006136BA">
              <w:rPr>
                <w:b/>
                <w:bCs/>
                <w:i w:val="0"/>
                <w:iCs w:val="0"/>
              </w:rPr>
              <w:t>fő)</w:t>
            </w:r>
          </w:p>
        </w:tc>
        <w:tc>
          <w:tcPr>
            <w:tcW w:w="6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center"/>
            </w:pPr>
            <w:r w:rsidRPr="006136BA">
              <w:t>676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0AA" w:rsidRPr="006136BA" w:rsidRDefault="00E430AA" w:rsidP="00820B31">
            <w:pPr>
              <w:pStyle w:val="Cmsor2"/>
              <w:tabs>
                <w:tab w:val="left" w:pos="0"/>
              </w:tabs>
              <w:jc w:val="left"/>
              <w:rPr>
                <w:b/>
                <w:bCs/>
                <w:i w:val="0"/>
                <w:iCs w:val="0"/>
              </w:rPr>
            </w:pPr>
            <w:r w:rsidRPr="006136BA">
              <w:rPr>
                <w:b/>
                <w:bCs/>
                <w:i w:val="0"/>
                <w:iCs w:val="0"/>
              </w:rPr>
              <w:t>Engedélyezett létszám (35. űrlap 13. sor)</w:t>
            </w:r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jc w:val="right"/>
            </w:pP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0AA" w:rsidRPr="006136BA" w:rsidRDefault="00E430AA" w:rsidP="00820B31">
            <w:pPr>
              <w:pStyle w:val="Cmsor2"/>
              <w:tabs>
                <w:tab w:val="left" w:pos="0"/>
              </w:tabs>
              <w:jc w:val="left"/>
              <w:rPr>
                <w:b/>
                <w:bCs/>
                <w:i w:val="0"/>
                <w:iCs w:val="0"/>
              </w:rPr>
            </w:pPr>
            <w:r w:rsidRPr="006136BA">
              <w:rPr>
                <w:b/>
                <w:bCs/>
                <w:i w:val="0"/>
                <w:iCs w:val="0"/>
              </w:rPr>
              <w:t>Átlagos statisztikai állományi létszám (35. űrlap 18. sor)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center"/>
            </w:pPr>
            <w:r w:rsidRPr="006136BA">
              <w:t>668</w:t>
            </w:r>
          </w:p>
        </w:tc>
      </w:tr>
      <w:tr w:rsidR="00E430AA" w:rsidRPr="006136BA" w:rsidTr="00D37ADD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AA" w:rsidRPr="006136BA" w:rsidRDefault="00E430AA" w:rsidP="00820B31">
            <w:pPr>
              <w:pStyle w:val="Cmsor2"/>
              <w:tabs>
                <w:tab w:val="left" w:pos="0"/>
              </w:tabs>
              <w:jc w:val="left"/>
              <w:rPr>
                <w:b/>
                <w:bCs/>
                <w:i w:val="0"/>
                <w:iCs w:val="0"/>
              </w:rPr>
            </w:pPr>
            <w:r w:rsidRPr="006136BA">
              <w:rPr>
                <w:b/>
                <w:bCs/>
                <w:i w:val="0"/>
                <w:iCs w:val="0"/>
              </w:rPr>
              <w:t>Tartósan üres álláshelyek száma (35. űrlap 17. sor)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AA" w:rsidRPr="006136BA" w:rsidRDefault="00E430AA" w:rsidP="00820B31">
            <w:pPr>
              <w:tabs>
                <w:tab w:val="left" w:pos="0"/>
              </w:tabs>
              <w:jc w:val="center"/>
            </w:pPr>
            <w:r w:rsidRPr="006136BA">
              <w:t>0</w:t>
            </w:r>
          </w:p>
        </w:tc>
      </w:tr>
    </w:tbl>
    <w:p w:rsidR="00E430AA" w:rsidRPr="006136BA" w:rsidRDefault="00E430AA" w:rsidP="00E430AA">
      <w:pPr>
        <w:pStyle w:val="Listaszerbekezds"/>
        <w:numPr>
          <w:ilvl w:val="0"/>
          <w:numId w:val="15"/>
        </w:numPr>
        <w:rPr>
          <w:b w:val="0"/>
        </w:rPr>
      </w:pPr>
      <w:r w:rsidRPr="006136BA">
        <w:rPr>
          <w:b w:val="0"/>
        </w:rPr>
        <w:t>Függő átfutó kiadások nélkül</w:t>
      </w:r>
    </w:p>
    <w:p w:rsidR="00E430AA" w:rsidRDefault="00E430AA" w:rsidP="00E430AA"/>
    <w:p w:rsidR="00E430AA" w:rsidRPr="006136BA" w:rsidRDefault="00E430AA" w:rsidP="00E430AA">
      <w:pPr>
        <w:rPr>
          <w:iCs/>
        </w:rPr>
      </w:pPr>
      <w:r w:rsidRPr="006136BA">
        <w:rPr>
          <w:b/>
          <w:iCs/>
        </w:rPr>
        <w:t>2.1. Főbb kiadási tételek feladatteljesítéssel összefüggő alakulása.</w:t>
      </w:r>
      <w:r w:rsidRPr="006136BA">
        <w:rPr>
          <w:iCs/>
        </w:rPr>
        <w:t xml:space="preserve"> </w:t>
      </w:r>
      <w:r w:rsidRPr="006136BA">
        <w:rPr>
          <w:iCs/>
        </w:rPr>
        <w:tab/>
        <w:t>(</w:t>
      </w:r>
      <w:r w:rsidRPr="006136BA">
        <w:rPr>
          <w:i/>
          <w:iCs/>
        </w:rPr>
        <w:t>1. sz. melléklet)</w:t>
      </w:r>
    </w:p>
    <w:p w:rsidR="00E430AA" w:rsidRPr="006136BA" w:rsidRDefault="00E430AA" w:rsidP="00E430AA">
      <w:pPr>
        <w:ind w:firstLine="360"/>
        <w:jc w:val="both"/>
        <w:rPr>
          <w:b/>
          <w:iCs/>
        </w:rPr>
      </w:pP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2.1.1</w:t>
      </w:r>
      <w:r w:rsidRPr="006136BA">
        <w:rPr>
          <w:iCs/>
        </w:rPr>
        <w:t xml:space="preserve">. </w:t>
      </w:r>
      <w:r w:rsidRPr="006136BA">
        <w:rPr>
          <w:b/>
          <w:iCs/>
        </w:rPr>
        <w:t>Előirányzatok évközi változásai, tényleges teljesítéseket befolyásoló főbb tényezők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Az eredeti költségvetési támogatásunk nem tartalmazta az alábbi jelentősebb tételeket, ezért </w:t>
      </w:r>
      <w:r w:rsidRPr="006136BA">
        <w:rPr>
          <w:b/>
          <w:iCs/>
        </w:rPr>
        <w:t>évközi előirányzat-módosítás</w:t>
      </w:r>
      <w:r w:rsidRPr="006136BA">
        <w:rPr>
          <w:iCs/>
        </w:rPr>
        <w:t>ra volt szükség:</w:t>
      </w:r>
    </w:p>
    <w:p w:rsidR="00E430AA" w:rsidRPr="006136BA" w:rsidRDefault="00E430AA" w:rsidP="00E430AA">
      <w:pPr>
        <w:jc w:val="both"/>
        <w:rPr>
          <w:iCs/>
        </w:rPr>
      </w:pPr>
    </w:p>
    <w:p w:rsidR="00E430AA" w:rsidRPr="006136BA" w:rsidRDefault="00E430AA" w:rsidP="00E430AA">
      <w:pPr>
        <w:tabs>
          <w:tab w:val="right" w:pos="7938"/>
        </w:tabs>
        <w:rPr>
          <w:b/>
        </w:rPr>
      </w:pPr>
      <w:r w:rsidRPr="006136BA">
        <w:rPr>
          <w:b/>
        </w:rPr>
        <w:t>NEFMI előirányzat-módosítások egyenlege:</w:t>
      </w:r>
      <w:r w:rsidRPr="006136BA">
        <w:rPr>
          <w:b/>
        </w:rPr>
        <w:tab/>
        <w:t>350.098 e Ft</w:t>
      </w:r>
    </w:p>
    <w:p w:rsidR="00E430AA" w:rsidRPr="006136BA" w:rsidRDefault="00E430AA" w:rsidP="00E430AA">
      <w:pPr>
        <w:numPr>
          <w:ilvl w:val="0"/>
          <w:numId w:val="21"/>
        </w:numPr>
        <w:tabs>
          <w:tab w:val="right" w:pos="7938"/>
        </w:tabs>
      </w:pPr>
      <w:r w:rsidRPr="006136BA">
        <w:t xml:space="preserve">Növelések: Központi beruházás, </w:t>
      </w:r>
      <w:proofErr w:type="gramStart"/>
      <w:r w:rsidRPr="006136BA">
        <w:t>felújítás</w:t>
      </w:r>
      <w:r w:rsidRPr="006136BA">
        <w:tab/>
        <w:t xml:space="preserve">  55.</w:t>
      </w:r>
      <w:proofErr w:type="gramEnd"/>
      <w:r w:rsidRPr="006136BA">
        <w:t>000 e Ft</w:t>
      </w:r>
    </w:p>
    <w:p w:rsidR="00E430AA" w:rsidRPr="006136BA" w:rsidRDefault="00E430AA" w:rsidP="00E430AA">
      <w:pPr>
        <w:tabs>
          <w:tab w:val="right" w:pos="7938"/>
        </w:tabs>
        <w:ind w:left="708"/>
      </w:pPr>
      <w:r w:rsidRPr="006136BA">
        <w:t xml:space="preserve">      PPP oktatási és kollégiumi bérleti díjra </w:t>
      </w:r>
      <w:r w:rsidRPr="006136BA">
        <w:tab/>
        <w:t>282.743 e Ft</w:t>
      </w:r>
    </w:p>
    <w:p w:rsidR="00E430AA" w:rsidRPr="006136BA" w:rsidRDefault="00E430AA" w:rsidP="00E430AA">
      <w:pPr>
        <w:tabs>
          <w:tab w:val="right" w:pos="7938"/>
        </w:tabs>
        <w:ind w:left="708"/>
      </w:pPr>
      <w:r w:rsidRPr="006136BA">
        <w:t xml:space="preserve">      Kereset-kiegészítés </w:t>
      </w:r>
      <w:proofErr w:type="gramStart"/>
      <w:r w:rsidRPr="006136BA">
        <w:t xml:space="preserve">fedezetére  </w:t>
      </w:r>
      <w:r w:rsidRPr="006136BA">
        <w:tab/>
        <w:t xml:space="preserve">  67.</w:t>
      </w:r>
      <w:proofErr w:type="gramEnd"/>
      <w:r w:rsidRPr="006136BA">
        <w:t>288 e Ft</w:t>
      </w:r>
    </w:p>
    <w:p w:rsidR="00E430AA" w:rsidRPr="006136BA" w:rsidRDefault="00E430AA" w:rsidP="00E430AA">
      <w:pPr>
        <w:tabs>
          <w:tab w:val="right" w:pos="7938"/>
        </w:tabs>
        <w:ind w:left="708"/>
      </w:pPr>
      <w:r w:rsidRPr="006136BA">
        <w:t xml:space="preserve">      Egyéb pótelőirányzatok </w:t>
      </w:r>
      <w:proofErr w:type="gramStart"/>
      <w:r w:rsidRPr="006136BA">
        <w:t xml:space="preserve">egyenlege    </w:t>
      </w:r>
      <w:r w:rsidRPr="006136BA">
        <w:tab/>
        <w:t xml:space="preserve">    4</w:t>
      </w:r>
      <w:proofErr w:type="gramEnd"/>
      <w:r w:rsidRPr="006136BA">
        <w:t>.747 e Ft</w:t>
      </w:r>
    </w:p>
    <w:p w:rsidR="00E430AA" w:rsidRPr="006136BA" w:rsidRDefault="00E430AA" w:rsidP="00E430AA">
      <w:pPr>
        <w:numPr>
          <w:ilvl w:val="0"/>
          <w:numId w:val="21"/>
        </w:numPr>
        <w:tabs>
          <w:tab w:val="right" w:pos="7938"/>
        </w:tabs>
      </w:pPr>
      <w:r w:rsidRPr="006136BA">
        <w:t xml:space="preserve">Csökkentés: Kormány határozat </w:t>
      </w:r>
      <w:proofErr w:type="gramStart"/>
      <w:r w:rsidRPr="006136BA">
        <w:t xml:space="preserve">zárolás </w:t>
      </w:r>
      <w:r w:rsidRPr="006136BA">
        <w:tab/>
        <w:t xml:space="preserve">        -</w:t>
      </w:r>
      <w:proofErr w:type="gramEnd"/>
      <w:r w:rsidRPr="006136BA">
        <w:t xml:space="preserve"> 59.680 e Ft</w:t>
      </w:r>
    </w:p>
    <w:p w:rsidR="00E430AA" w:rsidRPr="006136BA" w:rsidRDefault="00E430AA" w:rsidP="00E430AA"/>
    <w:p w:rsidR="00E430AA" w:rsidRPr="006136BA" w:rsidRDefault="00E430AA" w:rsidP="00E430AA">
      <w:pPr>
        <w:tabs>
          <w:tab w:val="right" w:pos="7938"/>
        </w:tabs>
        <w:rPr>
          <w:b/>
        </w:rPr>
      </w:pPr>
      <w:r w:rsidRPr="006136BA">
        <w:rPr>
          <w:b/>
        </w:rPr>
        <w:t>Saját hatáskörű előirányzat növelések egyenlege</w:t>
      </w:r>
      <w:proofErr w:type="gramStart"/>
      <w:r w:rsidRPr="006136BA">
        <w:rPr>
          <w:b/>
        </w:rPr>
        <w:t>:</w:t>
      </w:r>
      <w:r w:rsidRPr="006136BA">
        <w:rPr>
          <w:b/>
        </w:rPr>
        <w:tab/>
        <w:t xml:space="preserve">         1</w:t>
      </w:r>
      <w:proofErr w:type="gramEnd"/>
      <w:r w:rsidRPr="006136BA">
        <w:rPr>
          <w:b/>
        </w:rPr>
        <w:t>.724.233 e Ft</w:t>
      </w:r>
    </w:p>
    <w:p w:rsidR="00E430AA" w:rsidRPr="006136BA" w:rsidRDefault="00E430AA" w:rsidP="00E430AA">
      <w:pPr>
        <w:numPr>
          <w:ilvl w:val="0"/>
          <w:numId w:val="21"/>
        </w:numPr>
        <w:tabs>
          <w:tab w:val="right" w:pos="7938"/>
        </w:tabs>
      </w:pPr>
      <w:r w:rsidRPr="006136BA">
        <w:t>Pénzmaradvány igénybevétel:</w:t>
      </w:r>
      <w:r w:rsidRPr="006136BA">
        <w:tab/>
      </w:r>
      <w:r w:rsidRPr="006136BA">
        <w:rPr>
          <w:b/>
        </w:rPr>
        <w:t>609.880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személyi</w:t>
      </w:r>
      <w:proofErr w:type="gramEnd"/>
      <w:r w:rsidRPr="006136BA">
        <w:t>, járulék</w:t>
      </w:r>
      <w:r w:rsidRPr="006136BA">
        <w:tab/>
        <w:t>116.585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dologi</w:t>
      </w:r>
      <w:proofErr w:type="gramEnd"/>
      <w:r w:rsidRPr="006136BA">
        <w:tab/>
        <w:t>157.400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ösztöndíj</w:t>
      </w:r>
      <w:proofErr w:type="gramEnd"/>
      <w:r w:rsidRPr="006136BA">
        <w:tab/>
        <w:t xml:space="preserve"> 24.680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pénzátadások</w:t>
      </w:r>
      <w:proofErr w:type="gramEnd"/>
      <w:r w:rsidRPr="006136BA">
        <w:tab/>
        <w:t xml:space="preserve"> 20.949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beruházás</w:t>
      </w:r>
      <w:proofErr w:type="gramEnd"/>
      <w:r w:rsidRPr="006136BA">
        <w:t>, felújítás</w:t>
      </w:r>
      <w:r w:rsidRPr="006136BA">
        <w:tab/>
        <w:t xml:space="preserve">           290.266 e Ft</w:t>
      </w:r>
    </w:p>
    <w:p w:rsidR="00E430AA" w:rsidRPr="006136BA" w:rsidRDefault="00E430AA" w:rsidP="00E430AA"/>
    <w:p w:rsidR="00E430AA" w:rsidRPr="006136BA" w:rsidRDefault="00E430AA" w:rsidP="00E430AA">
      <w:pPr>
        <w:numPr>
          <w:ilvl w:val="0"/>
          <w:numId w:val="21"/>
        </w:numPr>
        <w:tabs>
          <w:tab w:val="right" w:pos="7938"/>
        </w:tabs>
        <w:rPr>
          <w:b/>
        </w:rPr>
      </w:pPr>
      <w:r w:rsidRPr="006136BA">
        <w:t>Támogatásértékű bevételek többlete</w:t>
      </w:r>
      <w:proofErr w:type="gramStart"/>
      <w:r w:rsidRPr="006136BA">
        <w:t>:</w:t>
      </w:r>
      <w:r w:rsidRPr="006136BA">
        <w:tab/>
        <w:t xml:space="preserve">           745.</w:t>
      </w:r>
      <w:proofErr w:type="gramEnd"/>
      <w:r w:rsidRPr="006136BA">
        <w:t xml:space="preserve"> 680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személyi</w:t>
      </w:r>
      <w:proofErr w:type="gramEnd"/>
      <w:r w:rsidRPr="006136BA">
        <w:t>, járulék</w:t>
      </w:r>
      <w:r w:rsidRPr="006136BA">
        <w:tab/>
        <w:t>270.325 e Ft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dologi</w:t>
      </w:r>
      <w:proofErr w:type="gramEnd"/>
      <w:r w:rsidRPr="006136BA">
        <w:t xml:space="preserve"> kiadások</w:t>
      </w:r>
      <w:r w:rsidRPr="006136BA">
        <w:tab/>
        <w:t xml:space="preserve">119.355 e Ft </w:t>
      </w:r>
    </w:p>
    <w:p w:rsidR="00E430AA" w:rsidRPr="006136BA" w:rsidRDefault="00E430AA" w:rsidP="00E430AA">
      <w:pPr>
        <w:tabs>
          <w:tab w:val="right" w:pos="7938"/>
        </w:tabs>
        <w:ind w:left="1065"/>
      </w:pPr>
      <w:proofErr w:type="gramStart"/>
      <w:r w:rsidRPr="006136BA">
        <w:t>felhalmozás</w:t>
      </w:r>
      <w:proofErr w:type="gramEnd"/>
      <w:r w:rsidRPr="006136BA">
        <w:tab/>
        <w:t xml:space="preserve">356.000 e Ft </w:t>
      </w:r>
    </w:p>
    <w:p w:rsidR="00E430AA" w:rsidRPr="006136BA" w:rsidRDefault="00E430AA" w:rsidP="00E430AA">
      <w:pPr>
        <w:tabs>
          <w:tab w:val="right" w:pos="7938"/>
        </w:tabs>
      </w:pPr>
    </w:p>
    <w:p w:rsidR="00E430AA" w:rsidRPr="006136BA" w:rsidRDefault="00E430AA" w:rsidP="00E430AA">
      <w:pPr>
        <w:numPr>
          <w:ilvl w:val="0"/>
          <w:numId w:val="21"/>
        </w:numPr>
        <w:tabs>
          <w:tab w:val="right" w:pos="7938"/>
        </w:tabs>
      </w:pPr>
      <w:r w:rsidRPr="006136BA">
        <w:t>Egyéb saját bevételek növe</w:t>
      </w:r>
      <w:r w:rsidR="00D96CBD">
        <w:t>kedé</w:t>
      </w:r>
      <w:r w:rsidRPr="006136BA">
        <w:t xml:space="preserve">sének egyenlege </w:t>
      </w:r>
      <w:r w:rsidRPr="006136BA">
        <w:tab/>
        <w:t>368.673 e Ft</w:t>
      </w:r>
    </w:p>
    <w:p w:rsidR="00E430AA" w:rsidRPr="006136BA" w:rsidRDefault="00E430AA" w:rsidP="00E430AA">
      <w:pPr>
        <w:jc w:val="both"/>
        <w:rPr>
          <w:iCs/>
        </w:rPr>
      </w:pP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2.1.2</w:t>
      </w:r>
      <w:r w:rsidRPr="006136BA">
        <w:rPr>
          <w:iCs/>
        </w:rPr>
        <w:t xml:space="preserve">. </w:t>
      </w:r>
      <w:r w:rsidRPr="006136BA">
        <w:rPr>
          <w:b/>
          <w:iCs/>
        </w:rPr>
        <w:t>Személyi juttatások előirányzatának alakulása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2010-ben központi béremelésre nem került sor. A kötelező előrelépések és átsorolások fedezetét az intézmény saját költségvetéséből biztosította. Az engedélyezett létszámot betartottuk. A </w:t>
      </w:r>
      <w:proofErr w:type="gramStart"/>
      <w:r w:rsidRPr="006136BA">
        <w:rPr>
          <w:iCs/>
        </w:rPr>
        <w:t>munkaerő mozgás</w:t>
      </w:r>
      <w:proofErr w:type="gramEnd"/>
      <w:r w:rsidRPr="006136BA">
        <w:rPr>
          <w:iCs/>
        </w:rPr>
        <w:t xml:space="preserve"> intenzív volt, 41 dolgozó lépett ki és 107 dolgozó lépett be. Ez az alkalmazotti létszám több mint 10 %-</w:t>
      </w:r>
      <w:proofErr w:type="gramStart"/>
      <w:r w:rsidRPr="006136BA">
        <w:rPr>
          <w:iCs/>
        </w:rPr>
        <w:t>a.</w:t>
      </w:r>
      <w:proofErr w:type="gramEnd"/>
      <w:r w:rsidRPr="006136BA">
        <w:rPr>
          <w:iCs/>
        </w:rPr>
        <w:t xml:space="preserve"> A Gyakorló Iskolában igen jelentős részidős munkaerő felvétel történt, aminek oka a tanári mesterképzés feladatainak ellátása. 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Étkezési hozzájárulásra 53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, jutalmazásra 29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, üdülési csekkre 4,6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, dolgozók </w:t>
      </w:r>
      <w:proofErr w:type="spellStart"/>
      <w:r w:rsidRPr="006136BA">
        <w:rPr>
          <w:iCs/>
        </w:rPr>
        <w:t>munkábajárásának</w:t>
      </w:r>
      <w:proofErr w:type="spellEnd"/>
      <w:r w:rsidRPr="006136BA">
        <w:rPr>
          <w:iCs/>
        </w:rPr>
        <w:t xml:space="preserve"> támogatására 15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 költöttünk. A jutalom kifizetéseket Kormányhatározat tiltotta </w:t>
      </w:r>
      <w:r w:rsidRPr="006136BA">
        <w:rPr>
          <w:iCs/>
        </w:rPr>
        <w:lastRenderedPageBreak/>
        <w:t>meg 2010. júniustól ezért ezen a jogcímen nem volt lehetőségünk továbbiakban a dolgozóink munkájának elismerésére.</w:t>
      </w:r>
    </w:p>
    <w:p w:rsidR="00473A3F" w:rsidRDefault="00E430AA" w:rsidP="00D96CBD">
      <w:pPr>
        <w:ind w:left="426" w:hanging="426"/>
        <w:jc w:val="both"/>
        <w:rPr>
          <w:b/>
          <w:iCs/>
        </w:rPr>
      </w:pPr>
      <w:r w:rsidRPr="006136BA">
        <w:rPr>
          <w:iCs/>
        </w:rPr>
        <w:tab/>
      </w:r>
    </w:p>
    <w:p w:rsidR="00E430AA" w:rsidRPr="006136BA" w:rsidRDefault="00E430AA" w:rsidP="00E430AA">
      <w:pPr>
        <w:ind w:left="426"/>
        <w:jc w:val="both"/>
        <w:rPr>
          <w:b/>
          <w:iCs/>
        </w:rPr>
      </w:pPr>
      <w:r w:rsidRPr="006136BA">
        <w:rPr>
          <w:b/>
          <w:iCs/>
        </w:rPr>
        <w:t>2.1.3. Dologi kiadások előirányzatának változása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Dologi kiadásaink mind az eredeti, mind a módosított előirányzat alatt maradnak. Ennek oka, hogy működési bevételeink 343 </w:t>
      </w:r>
      <w:proofErr w:type="spellStart"/>
      <w:r w:rsidRPr="006136BA">
        <w:rPr>
          <w:iCs/>
        </w:rPr>
        <w:t>mFt-os</w:t>
      </w:r>
      <w:proofErr w:type="spellEnd"/>
      <w:r w:rsidRPr="006136BA">
        <w:rPr>
          <w:iCs/>
        </w:rPr>
        <w:t xml:space="preserve"> túlteljesítése miatt a dologi kiadások előirányzatát növelnünk kellett, de az ehhez kapcsolódó tényleges kiadások (döntően pályázati megvalósulások) a függő átfutó tételek között szerepelnek. 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Könyv és folyóirat beszerzésre 16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, kommunikációs szolgáltatásokra 44,5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, PPP konstrukcióhoz kapcsolódó szolgáltatási díjakra 360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 költöttünk. 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Az energia fogyasztás összehasonlítása az előző évivel a </w:t>
      </w:r>
      <w:r w:rsidRPr="006136BA">
        <w:rPr>
          <w:i/>
          <w:iCs/>
        </w:rPr>
        <w:t>8. sz. mellékletben</w:t>
      </w:r>
      <w:r w:rsidRPr="006136BA">
        <w:rPr>
          <w:iCs/>
        </w:rPr>
        <w:t xml:space="preserve"> látható. A mennyiségi felhasználás összességében az előző évi szinten maradt. Az intézmény energia számlája (gáz, villamos energia, </w:t>
      </w:r>
      <w:proofErr w:type="spellStart"/>
      <w:r w:rsidRPr="006136BA">
        <w:rPr>
          <w:iCs/>
        </w:rPr>
        <w:t>távhő</w:t>
      </w:r>
      <w:proofErr w:type="spellEnd"/>
      <w:r w:rsidRPr="006136BA">
        <w:rPr>
          <w:iCs/>
        </w:rPr>
        <w:t xml:space="preserve">, vízdíj) éves szinten 131 </w:t>
      </w:r>
      <w:proofErr w:type="spellStart"/>
      <w:r w:rsidRPr="006136BA">
        <w:rPr>
          <w:iCs/>
        </w:rPr>
        <w:t>mFt</w:t>
      </w:r>
      <w:proofErr w:type="spellEnd"/>
      <w:r w:rsidRPr="006136BA">
        <w:rPr>
          <w:iCs/>
        </w:rPr>
        <w:t xml:space="preserve">. Az oktatási tevékenységünk népszerűsítéshez kapcsolódó reklám és propaganda kiadásokra 15 </w:t>
      </w:r>
      <w:proofErr w:type="spellStart"/>
      <w:r w:rsidRPr="006136BA">
        <w:rPr>
          <w:iCs/>
        </w:rPr>
        <w:t>mFt-ot</w:t>
      </w:r>
      <w:proofErr w:type="spellEnd"/>
      <w:r w:rsidRPr="006136BA">
        <w:rPr>
          <w:iCs/>
        </w:rPr>
        <w:t xml:space="preserve"> költöttünk.</w:t>
      </w:r>
      <w:r w:rsidR="00D96CBD">
        <w:rPr>
          <w:iCs/>
        </w:rPr>
        <w:t xml:space="preserve"> Itt szerepelnek a pályázatok nyilvánosságra vonatkozó kötelező kiadásai is. </w:t>
      </w:r>
    </w:p>
    <w:p w:rsidR="00E430AA" w:rsidRDefault="00E430AA" w:rsidP="00E430AA">
      <w:pPr>
        <w:ind w:firstLine="360"/>
        <w:jc w:val="both"/>
        <w:rPr>
          <w:b/>
          <w:iCs/>
        </w:rPr>
      </w:pP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2.1.4</w:t>
      </w:r>
      <w:r w:rsidRPr="006136BA">
        <w:rPr>
          <w:iCs/>
        </w:rPr>
        <w:t xml:space="preserve">. </w:t>
      </w:r>
      <w:r w:rsidRPr="006136BA">
        <w:rPr>
          <w:b/>
          <w:iCs/>
        </w:rPr>
        <w:t>Felhalmozási kiadások előirányzatának alakulása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2010. legjelentősebb beruházási munkája a Líceum épületében történt. A munkák terv szerint 2011. november 30-án zárulnak. Pályázati forrásból az </w:t>
      </w:r>
      <w:proofErr w:type="spellStart"/>
      <w:r w:rsidRPr="006136BA">
        <w:rPr>
          <w:iCs/>
        </w:rPr>
        <w:t>Almagyardombi</w:t>
      </w:r>
      <w:proofErr w:type="spellEnd"/>
      <w:r w:rsidRPr="006136BA">
        <w:rPr>
          <w:iCs/>
        </w:rPr>
        <w:t xml:space="preserve"> Kollégium földszintjén Hallgatói Centrumot hoztunk létre. Központi költségvetési forrásból nyáron elvégeztük a „D” épület felújításának II. ütemét, a teljes befejezés </w:t>
      </w:r>
      <w:proofErr w:type="gramStart"/>
      <w:r w:rsidRPr="006136BA">
        <w:rPr>
          <w:iCs/>
        </w:rPr>
        <w:t>2011. szeptemberére</w:t>
      </w:r>
      <w:proofErr w:type="gramEnd"/>
      <w:r w:rsidRPr="006136BA">
        <w:rPr>
          <w:iCs/>
        </w:rPr>
        <w:t xml:space="preserve"> várható.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>Beruházási kiadásaink közül legjelentősebb a hallgatói laptop projekt folytatása. Valamennyi állami finanszírozott első éves hallgató szeptemberben laptopot igényelhetett 30.000,- Ft letéti díj befizetése ellenében.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2.2. Bevételek alakulása, jellege, típusai, rendszerezése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>Intézményi működési bevételeink szinte valamennyi fősora emelkedett, de a szerkezetén belül átrendeződés figyelhető meg.</w:t>
      </w:r>
    </w:p>
    <w:p w:rsidR="00E430AA" w:rsidRPr="006136BA" w:rsidRDefault="00E430AA" w:rsidP="00E430AA">
      <w:pPr>
        <w:numPr>
          <w:ilvl w:val="0"/>
          <w:numId w:val="6"/>
        </w:numPr>
        <w:jc w:val="both"/>
        <w:rPr>
          <w:iCs/>
        </w:rPr>
      </w:pPr>
      <w:r w:rsidRPr="006136BA">
        <w:rPr>
          <w:iCs/>
        </w:rPr>
        <w:t xml:space="preserve">A részidős költségtérítéses-képzés bevétele a hallgatói létszám csökkenése miatt folyamatosan egyre kevesebb. A nappali képzésben a költségtérítés meghaladja a 220 </w:t>
      </w:r>
      <w:proofErr w:type="spellStart"/>
      <w:proofErr w:type="gramStart"/>
      <w:r w:rsidRPr="006136BA">
        <w:rPr>
          <w:iCs/>
        </w:rPr>
        <w:t>mFt-ot</w:t>
      </w:r>
      <w:proofErr w:type="spellEnd"/>
      <w:proofErr w:type="gramEnd"/>
      <w:r w:rsidRPr="006136BA">
        <w:rPr>
          <w:iCs/>
        </w:rPr>
        <w:t xml:space="preserve"> ami 10 </w:t>
      </w:r>
      <w:proofErr w:type="spellStart"/>
      <w:r w:rsidRPr="006136BA">
        <w:rPr>
          <w:iCs/>
        </w:rPr>
        <w:t>%-al</w:t>
      </w:r>
      <w:proofErr w:type="spellEnd"/>
      <w:r w:rsidRPr="006136BA">
        <w:rPr>
          <w:iCs/>
        </w:rPr>
        <w:t xml:space="preserve"> több az előző évinél.</w:t>
      </w:r>
    </w:p>
    <w:p w:rsidR="00E430AA" w:rsidRPr="006136BA" w:rsidRDefault="00E430AA" w:rsidP="00E430AA">
      <w:pPr>
        <w:numPr>
          <w:ilvl w:val="0"/>
          <w:numId w:val="6"/>
        </w:numPr>
        <w:jc w:val="both"/>
        <w:rPr>
          <w:iCs/>
        </w:rPr>
      </w:pPr>
      <w:r w:rsidRPr="006136BA">
        <w:rPr>
          <w:iCs/>
        </w:rPr>
        <w:t xml:space="preserve">Szabad pénzeszközeinkért kincstárjegyet vásároltunk, aminek tárgyévi kamatbevétele 27 </w:t>
      </w:r>
      <w:proofErr w:type="spellStart"/>
      <w:r w:rsidRPr="006136BA">
        <w:rPr>
          <w:iCs/>
        </w:rPr>
        <w:t>mFt</w:t>
      </w:r>
      <w:proofErr w:type="spellEnd"/>
      <w:r w:rsidRPr="006136BA">
        <w:rPr>
          <w:iCs/>
        </w:rPr>
        <w:t>.</w:t>
      </w:r>
    </w:p>
    <w:p w:rsidR="00E430AA" w:rsidRPr="006136BA" w:rsidRDefault="00E430AA" w:rsidP="00E430AA">
      <w:pPr>
        <w:ind w:left="709" w:hanging="283"/>
        <w:jc w:val="both"/>
        <w:rPr>
          <w:iCs/>
        </w:rPr>
      </w:pPr>
      <w:r w:rsidRPr="006136BA">
        <w:rPr>
          <w:iCs/>
        </w:rPr>
        <w:t>-</w:t>
      </w:r>
      <w:r w:rsidRPr="006136BA">
        <w:rPr>
          <w:iCs/>
        </w:rPr>
        <w:tab/>
        <w:t xml:space="preserve">Szakképzési hozzájárulásból 42 </w:t>
      </w:r>
      <w:proofErr w:type="spellStart"/>
      <w:r w:rsidRPr="006136BA">
        <w:rPr>
          <w:iCs/>
        </w:rPr>
        <w:t>mFt</w:t>
      </w:r>
      <w:proofErr w:type="spellEnd"/>
      <w:r w:rsidRPr="006136BA">
        <w:rPr>
          <w:iCs/>
        </w:rPr>
        <w:t xml:space="preserve"> támogatáshoz jutottunk, ami 20 </w:t>
      </w:r>
      <w:proofErr w:type="spellStart"/>
      <w:r w:rsidRPr="006136BA">
        <w:rPr>
          <w:iCs/>
        </w:rPr>
        <w:t>%-al</w:t>
      </w:r>
      <w:proofErr w:type="spellEnd"/>
      <w:r w:rsidRPr="006136BA">
        <w:rPr>
          <w:iCs/>
        </w:rPr>
        <w:t xml:space="preserve"> az előző évi alatt maradt.</w:t>
      </w:r>
    </w:p>
    <w:p w:rsidR="00E430AA" w:rsidRPr="006136BA" w:rsidRDefault="00E430AA" w:rsidP="00E430AA">
      <w:pPr>
        <w:ind w:left="709" w:hanging="349"/>
        <w:jc w:val="both"/>
        <w:rPr>
          <w:iCs/>
        </w:rPr>
      </w:pPr>
      <w:r w:rsidRPr="006136BA">
        <w:rPr>
          <w:iCs/>
        </w:rPr>
        <w:t>-</w:t>
      </w:r>
      <w:r w:rsidRPr="006136BA">
        <w:rPr>
          <w:iCs/>
        </w:rPr>
        <w:tab/>
        <w:t>Sikeres pályázati tevékenységünk jelentősen hozzájárult kutatási feladataink megvalósulásához.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2.3. Előirányzat-maradvány</w:t>
      </w: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A 2010. évi előirányzat-maradvány alakulása, összetétele, keletkezésének okai.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Az előirányzat-maradvány részletes kimunkálását a </w:t>
      </w:r>
      <w:r w:rsidRPr="006136BA">
        <w:rPr>
          <w:i/>
          <w:iCs/>
        </w:rPr>
        <w:t>7. sz. melléklet</w:t>
      </w:r>
      <w:r w:rsidRPr="006136BA">
        <w:rPr>
          <w:iCs/>
        </w:rPr>
        <w:t xml:space="preserve"> tartalmazza. 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3. Egyéb</w:t>
      </w: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Gazdálkodás és vagyonváltozás.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>A 2010. évi gazdálkodást jelentősen befol</w:t>
      </w:r>
      <w:r w:rsidR="00F62251">
        <w:rPr>
          <w:iCs/>
        </w:rPr>
        <w:t xml:space="preserve">yásolta az év közben elrendelt </w:t>
      </w:r>
      <w:r w:rsidR="00D96CBD">
        <w:rPr>
          <w:iCs/>
        </w:rPr>
        <w:t>59.680</w:t>
      </w:r>
      <w:r w:rsidRPr="006136BA">
        <w:rPr>
          <w:iCs/>
        </w:rPr>
        <w:t xml:space="preserve"> </w:t>
      </w:r>
      <w:proofErr w:type="spellStart"/>
      <w:r w:rsidR="00D96CBD">
        <w:rPr>
          <w:iCs/>
        </w:rPr>
        <w:t>e</w:t>
      </w:r>
      <w:r w:rsidRPr="006136BA">
        <w:rPr>
          <w:iCs/>
        </w:rPr>
        <w:t>Ft-os</w:t>
      </w:r>
      <w:proofErr w:type="spellEnd"/>
      <w:r w:rsidRPr="006136BA">
        <w:rPr>
          <w:iCs/>
        </w:rPr>
        <w:t xml:space="preserve"> zárolás. </w:t>
      </w:r>
      <w:r w:rsidR="00F62251">
        <w:rPr>
          <w:iCs/>
        </w:rPr>
        <w:t xml:space="preserve">Elhalasztottuk egy összetört személygépkocsi pótlását, átütemeztük karbantartási feladatainkat. </w:t>
      </w:r>
      <w:r w:rsidRPr="006136BA">
        <w:rPr>
          <w:iCs/>
        </w:rPr>
        <w:t xml:space="preserve">Az előző költségvetési évek éves beszámolójában jelentős összegű hibák nem kerültek megállapításra. Az intézmény számviteli politikája évközben nem módosult.  2010-ben követelés elengedés nem történt, behajthatatlan követelés nem keletkezett. 2010. december 31-vel egyeztetéses és tényleges felvétellel történő leltárt végeztünk, ami analitikusan alátámasztja a mérleg valódiságát. </w:t>
      </w:r>
    </w:p>
    <w:p w:rsidR="00E430AA" w:rsidRPr="006136BA" w:rsidRDefault="00E430AA" w:rsidP="00E430AA">
      <w:pPr>
        <w:ind w:firstLine="360"/>
        <w:jc w:val="both"/>
        <w:rPr>
          <w:b/>
          <w:iCs/>
        </w:rPr>
      </w:pP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3.2. Az intézmény vállalkozási tevékenységének bemutatása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lastRenderedPageBreak/>
        <w:t xml:space="preserve">2010-ben intézményünk 5 </w:t>
      </w:r>
      <w:r w:rsidRPr="006136BA">
        <w:rPr>
          <w:b/>
          <w:iCs/>
        </w:rPr>
        <w:t>gazdasági társaság</w:t>
      </w:r>
      <w:r w:rsidRPr="006136BA">
        <w:rPr>
          <w:iCs/>
        </w:rPr>
        <w:t xml:space="preserve">ban volt érdekelt. Az </w:t>
      </w:r>
      <w:r w:rsidRPr="006136BA">
        <w:rPr>
          <w:b/>
          <w:iCs/>
        </w:rPr>
        <w:t xml:space="preserve">Eger </w:t>
      </w:r>
      <w:proofErr w:type="spellStart"/>
      <w:r w:rsidRPr="006136BA">
        <w:rPr>
          <w:b/>
          <w:iCs/>
        </w:rPr>
        <w:t>Innovations</w:t>
      </w:r>
      <w:proofErr w:type="spellEnd"/>
      <w:r w:rsidRPr="006136BA">
        <w:rPr>
          <w:b/>
          <w:iCs/>
        </w:rPr>
        <w:t xml:space="preserve"> Kft</w:t>
      </w:r>
      <w:r w:rsidRPr="006136BA">
        <w:rPr>
          <w:iCs/>
        </w:rPr>
        <w:t xml:space="preserve">-t az intézmény szellemi javainak hasznosítására hoztuk létre. 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 xml:space="preserve">Az </w:t>
      </w:r>
      <w:proofErr w:type="spellStart"/>
      <w:r w:rsidRPr="006136BA">
        <w:rPr>
          <w:b/>
          <w:iCs/>
        </w:rPr>
        <w:t>EgerFood</w:t>
      </w:r>
      <w:proofErr w:type="spellEnd"/>
      <w:r w:rsidRPr="006136BA">
        <w:rPr>
          <w:b/>
          <w:iCs/>
        </w:rPr>
        <w:t xml:space="preserve"> Kft</w:t>
      </w:r>
      <w:r w:rsidRPr="006136BA">
        <w:rPr>
          <w:iCs/>
        </w:rPr>
        <w:t xml:space="preserve">. és az </w:t>
      </w:r>
      <w:proofErr w:type="spellStart"/>
      <w:r w:rsidRPr="006136BA">
        <w:rPr>
          <w:b/>
          <w:iCs/>
        </w:rPr>
        <w:t>Innovations</w:t>
      </w:r>
      <w:proofErr w:type="spellEnd"/>
      <w:r w:rsidRPr="006136BA">
        <w:rPr>
          <w:b/>
          <w:iCs/>
        </w:rPr>
        <w:t xml:space="preserve"> Kft.</w:t>
      </w:r>
      <w:r w:rsidRPr="006136BA">
        <w:rPr>
          <w:iCs/>
        </w:rPr>
        <w:t xml:space="preserve"> bevételeinek döntő részét sikeres pályázati tevékenységeik eredményezik (Baross pályázat, GOP).</w:t>
      </w:r>
    </w:p>
    <w:p w:rsidR="00E430AA" w:rsidRPr="006136BA" w:rsidRDefault="00E430AA" w:rsidP="00E430AA">
      <w:pPr>
        <w:jc w:val="both"/>
      </w:pPr>
      <w:r w:rsidRPr="006136BA">
        <w:rPr>
          <w:iCs/>
        </w:rPr>
        <w:t xml:space="preserve"> A </w:t>
      </w:r>
      <w:proofErr w:type="spellStart"/>
      <w:r w:rsidRPr="006136BA">
        <w:rPr>
          <w:b/>
        </w:rPr>
        <w:t>Rend-Trend</w:t>
      </w:r>
      <w:proofErr w:type="spellEnd"/>
      <w:r w:rsidRPr="006136BA">
        <w:rPr>
          <w:b/>
        </w:rPr>
        <w:t xml:space="preserve"> Kft</w:t>
      </w:r>
      <w:r w:rsidRPr="006136BA">
        <w:t xml:space="preserve">. épületeink takarítását végzi </w:t>
      </w:r>
      <w:proofErr w:type="gramStart"/>
      <w:r w:rsidRPr="006136BA">
        <w:t>2008. januárjától</w:t>
      </w:r>
      <w:proofErr w:type="gramEnd"/>
      <w:r w:rsidRPr="006136BA">
        <w:t>. A Kft. 2010. évben már nyereségesen gazdálkodott.</w:t>
      </w:r>
    </w:p>
    <w:p w:rsidR="00E430AA" w:rsidRPr="006136BA" w:rsidRDefault="00E430AA" w:rsidP="00E430AA">
      <w:pPr>
        <w:jc w:val="both"/>
      </w:pPr>
      <w:r w:rsidRPr="006136BA">
        <w:t xml:space="preserve"> Az </w:t>
      </w:r>
      <w:proofErr w:type="spellStart"/>
      <w:r w:rsidRPr="006136BA">
        <w:rPr>
          <w:b/>
        </w:rPr>
        <w:t>Agria</w:t>
      </w:r>
      <w:proofErr w:type="spellEnd"/>
      <w:r w:rsidRPr="006136BA">
        <w:rPr>
          <w:b/>
        </w:rPr>
        <w:t xml:space="preserve"> </w:t>
      </w:r>
      <w:proofErr w:type="spellStart"/>
      <w:r w:rsidRPr="006136BA">
        <w:rPr>
          <w:b/>
        </w:rPr>
        <w:t>Tiszk</w:t>
      </w:r>
      <w:proofErr w:type="spellEnd"/>
      <w:r w:rsidRPr="006136BA">
        <w:rPr>
          <w:b/>
        </w:rPr>
        <w:t xml:space="preserve"> Kft</w:t>
      </w:r>
      <w:r w:rsidRPr="006136BA">
        <w:t xml:space="preserve">. – ami részben a szakképzési hozzájárulások fogadására jött létre, működését </w:t>
      </w:r>
      <w:proofErr w:type="gramStart"/>
      <w:r w:rsidRPr="006136BA">
        <w:t>2009. januárjában</w:t>
      </w:r>
      <w:proofErr w:type="gramEnd"/>
      <w:r w:rsidRPr="006136BA">
        <w:t xml:space="preserve"> kezdte. </w:t>
      </w:r>
    </w:p>
    <w:p w:rsidR="00E430AA" w:rsidRPr="006136BA" w:rsidRDefault="00E430AA" w:rsidP="00E430AA">
      <w:pPr>
        <w:jc w:val="both"/>
      </w:pPr>
      <w:r w:rsidRPr="006136BA">
        <w:t xml:space="preserve">A </w:t>
      </w:r>
      <w:r w:rsidRPr="006136BA">
        <w:rPr>
          <w:b/>
        </w:rPr>
        <w:t>Hotel Estella Kft</w:t>
      </w:r>
      <w:r w:rsidRPr="006136BA">
        <w:t>. 2009-ben kezdte meg működését és 2010-ben nyereségesen zárt.</w:t>
      </w:r>
    </w:p>
    <w:p w:rsidR="00E430AA" w:rsidRPr="006136BA" w:rsidRDefault="00E430AA" w:rsidP="00E430AA">
      <w:pPr>
        <w:jc w:val="both"/>
      </w:pPr>
      <w:r w:rsidRPr="006136BA">
        <w:t xml:space="preserve">A </w:t>
      </w:r>
      <w:proofErr w:type="spellStart"/>
      <w:r w:rsidRPr="006136BA">
        <w:t>Kft.-k</w:t>
      </w:r>
      <w:proofErr w:type="spellEnd"/>
      <w:r w:rsidRPr="006136BA">
        <w:t xml:space="preserve"> alapítására több esetben azért kényszerülünk, mert egyre több pályázaton csak gazdasági társaság indulhat.</w:t>
      </w:r>
    </w:p>
    <w:p w:rsidR="00E430AA" w:rsidRPr="006136BA" w:rsidRDefault="00E430AA" w:rsidP="00E430AA">
      <w:pPr>
        <w:jc w:val="both"/>
        <w:rPr>
          <w:iCs/>
        </w:rPr>
      </w:pPr>
    </w:p>
    <w:tbl>
      <w:tblPr>
        <w:tblW w:w="1032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800"/>
        <w:gridCol w:w="2409"/>
        <w:gridCol w:w="1980"/>
        <w:gridCol w:w="1800"/>
      </w:tblGrid>
      <w:tr w:rsidR="00E430AA" w:rsidRPr="006136BA" w:rsidTr="00820B31">
        <w:trPr>
          <w:cantSplit/>
          <w:trHeight w:val="869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pPr>
              <w:jc w:val="center"/>
            </w:pPr>
          </w:p>
          <w:p w:rsidR="00E430AA" w:rsidRPr="006136BA" w:rsidRDefault="00E430AA" w:rsidP="00820B31">
            <w:pPr>
              <w:jc w:val="center"/>
            </w:pPr>
            <w:r w:rsidRPr="006136BA">
              <w:t>Gazdálkodó szervezet megnevezése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jc w:val="center"/>
            </w:pPr>
            <w:r w:rsidRPr="006136BA">
              <w:t>saját tőke értéke</w:t>
            </w:r>
          </w:p>
          <w:p w:rsidR="00E430AA" w:rsidRPr="006136BA" w:rsidRDefault="00E430AA" w:rsidP="00820B31">
            <w:pPr>
              <w:jc w:val="center"/>
            </w:pPr>
            <w:r w:rsidRPr="006136BA">
              <w:t>Ft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jc w:val="center"/>
            </w:pPr>
            <w:r w:rsidRPr="006136BA">
              <w:t>állami tulajdoni részesedés aránya</w:t>
            </w:r>
          </w:p>
        </w:tc>
        <w:tc>
          <w:tcPr>
            <w:tcW w:w="1980" w:type="dxa"/>
            <w:vAlign w:val="center"/>
          </w:tcPr>
          <w:p w:rsidR="00E430AA" w:rsidRPr="006136BA" w:rsidRDefault="00E430AA" w:rsidP="00820B31">
            <w:pPr>
              <w:jc w:val="center"/>
            </w:pPr>
            <w:r w:rsidRPr="006136BA">
              <w:t>költségvetési támogatás összege (millió forint)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jc w:val="center"/>
            </w:pPr>
            <w:r w:rsidRPr="006136BA">
              <w:t>költségvetési támogatás célja</w:t>
            </w:r>
          </w:p>
        </w:tc>
      </w:tr>
      <w:tr w:rsidR="00E430AA" w:rsidRPr="006136BA" w:rsidTr="00820B31">
        <w:trPr>
          <w:cantSplit/>
          <w:trHeight w:val="277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proofErr w:type="spellStart"/>
            <w:r w:rsidRPr="006136BA">
              <w:t>Rend-Trend</w:t>
            </w:r>
            <w:proofErr w:type="spellEnd"/>
            <w:r w:rsidRPr="006136BA">
              <w:t xml:space="preserve"> Kft.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500.000,-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</w:pPr>
            <w:r w:rsidRPr="006136BA">
              <w:t>100%</w:t>
            </w:r>
          </w:p>
        </w:tc>
        <w:tc>
          <w:tcPr>
            <w:tcW w:w="198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0</w:t>
            </w:r>
          </w:p>
        </w:tc>
        <w:tc>
          <w:tcPr>
            <w:tcW w:w="180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-</w:t>
            </w:r>
          </w:p>
        </w:tc>
      </w:tr>
      <w:tr w:rsidR="00E430AA" w:rsidRPr="006136BA" w:rsidTr="00820B31">
        <w:trPr>
          <w:cantSplit/>
          <w:trHeight w:val="428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r w:rsidRPr="006136BA">
              <w:t xml:space="preserve">Eger </w:t>
            </w:r>
            <w:proofErr w:type="spellStart"/>
            <w:r w:rsidRPr="006136BA">
              <w:t>Innovations</w:t>
            </w:r>
            <w:proofErr w:type="spellEnd"/>
            <w:r w:rsidRPr="006136BA">
              <w:t xml:space="preserve"> Kft.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jc w:val="right"/>
            </w:pPr>
            <w:r w:rsidRPr="006136BA">
              <w:t>3.000.000,-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jc w:val="center"/>
            </w:pPr>
            <w:r w:rsidRPr="006136BA">
              <w:t>53%</w:t>
            </w:r>
          </w:p>
        </w:tc>
        <w:tc>
          <w:tcPr>
            <w:tcW w:w="1980" w:type="dxa"/>
          </w:tcPr>
          <w:p w:rsidR="00E430AA" w:rsidRPr="006136BA" w:rsidRDefault="00E430AA" w:rsidP="00820B31">
            <w:pPr>
              <w:jc w:val="right"/>
            </w:pPr>
            <w:r w:rsidRPr="006136BA">
              <w:t>0</w:t>
            </w:r>
          </w:p>
        </w:tc>
        <w:tc>
          <w:tcPr>
            <w:tcW w:w="1800" w:type="dxa"/>
          </w:tcPr>
          <w:p w:rsidR="00E430AA" w:rsidRPr="006136BA" w:rsidRDefault="00E430AA" w:rsidP="00820B31">
            <w:pPr>
              <w:jc w:val="right"/>
            </w:pPr>
            <w:r w:rsidRPr="006136BA">
              <w:t>-</w:t>
            </w:r>
          </w:p>
        </w:tc>
      </w:tr>
      <w:tr w:rsidR="00E430AA" w:rsidRPr="006136BA" w:rsidTr="00820B31">
        <w:trPr>
          <w:cantSplit/>
          <w:trHeight w:val="279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proofErr w:type="spellStart"/>
            <w:r w:rsidRPr="006136BA">
              <w:t>EgerFood</w:t>
            </w:r>
            <w:proofErr w:type="spellEnd"/>
            <w:r w:rsidRPr="006136BA">
              <w:t xml:space="preserve"> Kft.</w:t>
            </w:r>
          </w:p>
        </w:tc>
        <w:tc>
          <w:tcPr>
            <w:tcW w:w="1800" w:type="dxa"/>
            <w:vAlign w:val="bottom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10.020.000,-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</w:pPr>
            <w:r w:rsidRPr="006136BA">
              <w:t>74,16%</w:t>
            </w:r>
          </w:p>
        </w:tc>
        <w:tc>
          <w:tcPr>
            <w:tcW w:w="198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0</w:t>
            </w:r>
          </w:p>
        </w:tc>
        <w:tc>
          <w:tcPr>
            <w:tcW w:w="180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-</w:t>
            </w:r>
          </w:p>
        </w:tc>
      </w:tr>
      <w:tr w:rsidR="00E430AA" w:rsidRPr="006136BA" w:rsidTr="00820B31">
        <w:trPr>
          <w:cantSplit/>
          <w:trHeight w:val="277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proofErr w:type="spellStart"/>
            <w:r w:rsidRPr="006136BA">
              <w:t>Agria</w:t>
            </w:r>
            <w:proofErr w:type="spellEnd"/>
            <w:r w:rsidRPr="006136BA">
              <w:t xml:space="preserve"> </w:t>
            </w:r>
            <w:proofErr w:type="spellStart"/>
            <w:r w:rsidRPr="006136BA">
              <w:t>Tiszk</w:t>
            </w:r>
            <w:proofErr w:type="spellEnd"/>
            <w:r w:rsidRPr="006136BA">
              <w:t xml:space="preserve"> Kft.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500.000,-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</w:pPr>
            <w:r w:rsidRPr="006136BA">
              <w:t>20%</w:t>
            </w:r>
          </w:p>
        </w:tc>
        <w:tc>
          <w:tcPr>
            <w:tcW w:w="198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0</w:t>
            </w:r>
          </w:p>
        </w:tc>
        <w:tc>
          <w:tcPr>
            <w:tcW w:w="180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-</w:t>
            </w:r>
          </w:p>
        </w:tc>
      </w:tr>
      <w:tr w:rsidR="00E430AA" w:rsidRPr="006136BA" w:rsidTr="00820B31">
        <w:trPr>
          <w:cantSplit/>
          <w:trHeight w:val="277"/>
          <w:jc w:val="center"/>
        </w:trPr>
        <w:tc>
          <w:tcPr>
            <w:tcW w:w="2340" w:type="dxa"/>
            <w:vAlign w:val="center"/>
          </w:tcPr>
          <w:p w:rsidR="00E430AA" w:rsidRPr="006136BA" w:rsidRDefault="00E430AA" w:rsidP="00820B31">
            <w:r w:rsidRPr="006136BA">
              <w:t>Hotel Estella</w:t>
            </w:r>
          </w:p>
        </w:tc>
        <w:tc>
          <w:tcPr>
            <w:tcW w:w="1800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2.000.000,-</w:t>
            </w:r>
          </w:p>
        </w:tc>
        <w:tc>
          <w:tcPr>
            <w:tcW w:w="2409" w:type="dxa"/>
            <w:vAlign w:val="center"/>
          </w:tcPr>
          <w:p w:rsidR="00E430AA" w:rsidRPr="006136BA" w:rsidRDefault="00E430AA" w:rsidP="00820B31">
            <w:pPr>
              <w:spacing w:line="360" w:lineRule="auto"/>
              <w:jc w:val="center"/>
            </w:pPr>
            <w:r w:rsidRPr="006136BA">
              <w:t>100 %</w:t>
            </w:r>
          </w:p>
        </w:tc>
        <w:tc>
          <w:tcPr>
            <w:tcW w:w="198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0</w:t>
            </w:r>
          </w:p>
        </w:tc>
        <w:tc>
          <w:tcPr>
            <w:tcW w:w="1800" w:type="dxa"/>
          </w:tcPr>
          <w:p w:rsidR="00E430AA" w:rsidRPr="006136BA" w:rsidRDefault="00E430AA" w:rsidP="00820B31">
            <w:pPr>
              <w:spacing w:line="360" w:lineRule="auto"/>
              <w:jc w:val="right"/>
            </w:pPr>
            <w:r w:rsidRPr="006136BA">
              <w:t>-</w:t>
            </w:r>
          </w:p>
        </w:tc>
      </w:tr>
    </w:tbl>
    <w:p w:rsidR="00E430AA" w:rsidRPr="006136BA" w:rsidRDefault="00E430AA" w:rsidP="00E430AA">
      <w:pPr>
        <w:spacing w:line="360" w:lineRule="auto"/>
        <w:ind w:firstLine="360"/>
        <w:jc w:val="both"/>
        <w:rPr>
          <w:b/>
          <w:iCs/>
        </w:rPr>
      </w:pPr>
    </w:p>
    <w:p w:rsidR="00E430AA" w:rsidRPr="006136BA" w:rsidRDefault="00E430AA" w:rsidP="00E430AA">
      <w:pPr>
        <w:ind w:firstLine="360"/>
        <w:jc w:val="both"/>
        <w:rPr>
          <w:b/>
          <w:iCs/>
        </w:rPr>
      </w:pPr>
      <w:r w:rsidRPr="006136BA">
        <w:rPr>
          <w:b/>
          <w:iCs/>
        </w:rPr>
        <w:t>3.3</w:t>
      </w:r>
      <w:r w:rsidRPr="006136BA">
        <w:rPr>
          <w:iCs/>
        </w:rPr>
        <w:t xml:space="preserve">. </w:t>
      </w:r>
      <w:r w:rsidRPr="006136BA">
        <w:rPr>
          <w:b/>
          <w:iCs/>
        </w:rPr>
        <w:t>A dolgozók lakásépítésének, vásárlásának támogatására fordított kölcsön összege és a kölcsönben részesítettek száma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>2009-ben 4 dolgozónk kapott lakásépítési támogatást.</w:t>
      </w:r>
    </w:p>
    <w:p w:rsidR="00E430AA" w:rsidRPr="006136BA" w:rsidRDefault="00E430AA" w:rsidP="00E430AA">
      <w:pPr>
        <w:ind w:firstLine="426"/>
        <w:jc w:val="both"/>
        <w:rPr>
          <w:b/>
          <w:iCs/>
        </w:rPr>
      </w:pPr>
    </w:p>
    <w:p w:rsidR="00E430AA" w:rsidRPr="006136BA" w:rsidRDefault="00E430AA" w:rsidP="00E430AA">
      <w:pPr>
        <w:ind w:firstLine="426"/>
        <w:jc w:val="both"/>
        <w:rPr>
          <w:b/>
          <w:iCs/>
        </w:rPr>
      </w:pPr>
      <w:r w:rsidRPr="006136BA">
        <w:rPr>
          <w:b/>
          <w:iCs/>
        </w:rPr>
        <w:t>3.4. Pályázati tevékenységünk</w:t>
      </w:r>
    </w:p>
    <w:p w:rsidR="00E430AA" w:rsidRPr="006136BA" w:rsidRDefault="00E430AA" w:rsidP="00E430AA">
      <w:pPr>
        <w:jc w:val="both"/>
      </w:pPr>
      <w:r w:rsidRPr="006136BA">
        <w:t xml:space="preserve">A 2010-ben beadott pályázatainkat az 5 </w:t>
      </w:r>
      <w:r w:rsidRPr="006136BA">
        <w:rPr>
          <w:i/>
        </w:rPr>
        <w:t>sz. táblázat</w:t>
      </w:r>
      <w:r w:rsidRPr="006136BA">
        <w:t xml:space="preserve"> tartalmazza. 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ind w:firstLine="426"/>
        <w:jc w:val="both"/>
        <w:rPr>
          <w:b/>
          <w:iCs/>
        </w:rPr>
      </w:pPr>
      <w:r w:rsidRPr="006136BA">
        <w:rPr>
          <w:b/>
          <w:iCs/>
        </w:rPr>
        <w:t>3.5. Munka és balesetvédelem</w:t>
      </w:r>
    </w:p>
    <w:p w:rsidR="00E430AA" w:rsidRPr="006136BA" w:rsidRDefault="00E430AA" w:rsidP="00E430AA">
      <w:pPr>
        <w:jc w:val="both"/>
      </w:pPr>
      <w:r w:rsidRPr="006136BA">
        <w:t>Főiskolánkon az elmúlt évben egy munkabaleset történt, a dolgozó szemébe csapódott az eldűlő rajz-kartonlapok sarka. Munkába menet, ill. munkából jövet 2 dolgozó bokasérülést szenvedett, amelyek úti balesetként vannak nyilvántartva.</w:t>
      </w:r>
    </w:p>
    <w:p w:rsidR="00E430AA" w:rsidRPr="006136BA" w:rsidRDefault="00E430AA" w:rsidP="00E430AA">
      <w:pPr>
        <w:jc w:val="both"/>
      </w:pPr>
      <w:r w:rsidRPr="006136BA">
        <w:t>A főiskola Gyakorlóiskolájából 4 tanulói balesetet jelentettek, amelyek udvaron történő megbotlás, egymással történő ütközés következményeiként, felső végtagsérülést okoztak.</w:t>
      </w:r>
    </w:p>
    <w:p w:rsidR="00E430AA" w:rsidRPr="006136BA" w:rsidRDefault="00E430AA" w:rsidP="00E430AA">
      <w:pPr>
        <w:jc w:val="both"/>
      </w:pPr>
      <w:r w:rsidRPr="006136BA">
        <w:t>A főiskola dolgozóinak munkaalkalmasság orvosi vizsgálatát ütemterv szerint elvégeztettük a foglalkozás-egészségügyi rendelet előírásainak megfelelően.</w:t>
      </w:r>
    </w:p>
    <w:p w:rsidR="00E430AA" w:rsidRPr="006136BA" w:rsidRDefault="00E430AA" w:rsidP="00E430AA">
      <w:pPr>
        <w:jc w:val="both"/>
      </w:pPr>
      <w:r w:rsidRPr="006136BA">
        <w:t>A főiskola épületeiben, tűzvédelmi felszerelések (fali csapok, poroltó készülékek) félévenkénti ellenőrzését a törvényi előírásokat betartva a szolgáltató céggel elvégeztettük, a hiányzó készülékeket beszereztük.</w:t>
      </w:r>
    </w:p>
    <w:p w:rsidR="00E430AA" w:rsidRPr="006136BA" w:rsidRDefault="00E430AA" w:rsidP="00E430AA">
      <w:pPr>
        <w:ind w:firstLine="426"/>
        <w:jc w:val="both"/>
        <w:rPr>
          <w:b/>
          <w:iCs/>
        </w:rPr>
      </w:pPr>
    </w:p>
    <w:p w:rsidR="00E430AA" w:rsidRDefault="00E430AA" w:rsidP="00E430AA">
      <w:pPr>
        <w:ind w:firstLine="426"/>
        <w:jc w:val="both"/>
        <w:rPr>
          <w:b/>
          <w:iCs/>
        </w:rPr>
      </w:pPr>
    </w:p>
    <w:p w:rsidR="00D37ADD" w:rsidRDefault="00D37ADD" w:rsidP="00E430AA">
      <w:pPr>
        <w:ind w:firstLine="426"/>
        <w:jc w:val="both"/>
        <w:rPr>
          <w:b/>
          <w:iCs/>
        </w:rPr>
      </w:pPr>
    </w:p>
    <w:p w:rsidR="00D96CBD" w:rsidRDefault="00D96CBD" w:rsidP="00E430AA">
      <w:pPr>
        <w:ind w:firstLine="426"/>
        <w:jc w:val="both"/>
        <w:rPr>
          <w:b/>
          <w:iCs/>
        </w:rPr>
      </w:pPr>
    </w:p>
    <w:p w:rsidR="00D37ADD" w:rsidRDefault="00D37ADD" w:rsidP="00E430AA">
      <w:pPr>
        <w:ind w:firstLine="426"/>
        <w:jc w:val="both"/>
        <w:rPr>
          <w:b/>
          <w:iCs/>
        </w:rPr>
      </w:pPr>
    </w:p>
    <w:p w:rsidR="00E430AA" w:rsidRPr="006136BA" w:rsidRDefault="00E430AA" w:rsidP="00E430AA">
      <w:pPr>
        <w:ind w:firstLine="426"/>
        <w:jc w:val="both"/>
        <w:rPr>
          <w:b/>
          <w:iCs/>
        </w:rPr>
      </w:pPr>
      <w:r w:rsidRPr="006136BA">
        <w:rPr>
          <w:b/>
          <w:iCs/>
        </w:rPr>
        <w:t>3.6. Európai Uniós programok keretében elvégzett feladatok és az ezzel kapcsolatos ráfordítások</w:t>
      </w:r>
    </w:p>
    <w:p w:rsidR="00E430AA" w:rsidRPr="006136BA" w:rsidRDefault="00E430AA" w:rsidP="00E430AA">
      <w:pPr>
        <w:jc w:val="center"/>
        <w:rPr>
          <w:bCs/>
        </w:rPr>
      </w:pPr>
      <w:r w:rsidRPr="006136BA">
        <w:rPr>
          <w:bCs/>
        </w:rPr>
        <w:t xml:space="preserve">Támogatásértékű EU társfinanszírozású pályázatok </w:t>
      </w:r>
    </w:p>
    <w:p w:rsidR="00E430AA" w:rsidRPr="006136BA" w:rsidRDefault="00E430AA" w:rsidP="00E430AA">
      <w:pPr>
        <w:jc w:val="center"/>
        <w:rPr>
          <w:bCs/>
        </w:rPr>
      </w:pPr>
      <w:r w:rsidRPr="006136BA">
        <w:rPr>
          <w:bCs/>
        </w:rPr>
        <w:lastRenderedPageBreak/>
        <w:t>2010.</w:t>
      </w:r>
    </w:p>
    <w:tbl>
      <w:tblPr>
        <w:tblW w:w="1032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1843"/>
        <w:gridCol w:w="3917"/>
      </w:tblGrid>
      <w:tr w:rsidR="00E430AA" w:rsidRPr="00D37ADD" w:rsidTr="00820B31">
        <w:trPr>
          <w:trHeight w:val="667"/>
          <w:jc w:val="center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7ADD">
              <w:rPr>
                <w:b/>
                <w:bCs/>
                <w:color w:val="000000"/>
              </w:rPr>
              <w:t>Pályázat neve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E430AA" w:rsidRDefault="00E430AA" w:rsidP="0082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7ADD">
              <w:rPr>
                <w:b/>
                <w:bCs/>
                <w:color w:val="000000"/>
              </w:rPr>
              <w:t>2010. évi költés</w:t>
            </w:r>
          </w:p>
          <w:p w:rsidR="00D96CBD" w:rsidRPr="00D37ADD" w:rsidRDefault="00D96CBD" w:rsidP="0082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(Ft-ban)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7ADD">
              <w:rPr>
                <w:b/>
                <w:bCs/>
                <w:color w:val="000000"/>
              </w:rPr>
              <w:t>Állapot</w:t>
            </w:r>
          </w:p>
        </w:tc>
      </w:tr>
      <w:tr w:rsidR="00E430AA" w:rsidRPr="00D37ADD" w:rsidTr="00820B31">
        <w:trPr>
          <w:trHeight w:val="334"/>
          <w:jc w:val="center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TIOP-1.1.1-09/1/1/10-0160.10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988 036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TIOP-1.3.1/07/1/</w:t>
            </w:r>
            <w:proofErr w:type="gramStart"/>
            <w:r w:rsidRPr="00D37ADD">
              <w:rPr>
                <w:color w:val="000000"/>
              </w:rPr>
              <w:t>A</w:t>
            </w:r>
            <w:proofErr w:type="gramEnd"/>
            <w:r w:rsidRPr="00D37ADD">
              <w:rPr>
                <w:color w:val="000000"/>
              </w:rPr>
              <w:t>/</w:t>
            </w:r>
            <w:proofErr w:type="spellStart"/>
            <w:r w:rsidRPr="00D37ADD">
              <w:rPr>
                <w:color w:val="000000"/>
              </w:rPr>
              <w:t>felúj</w:t>
            </w:r>
            <w:proofErr w:type="spellEnd"/>
            <w:r w:rsidRPr="00D37ADD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485 588 086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TÁMOP-3.2.1/B-09/2-0024 ESÉL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1 864 398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TÁMOP-3.1.4-0138.Komp</w:t>
            </w:r>
            <w:proofErr w:type="gramStart"/>
            <w:r w:rsidRPr="00D37ADD">
              <w:rPr>
                <w:color w:val="000000"/>
              </w:rPr>
              <w:t>.Ált</w:t>
            </w:r>
            <w:proofErr w:type="gramEnd"/>
            <w:r w:rsidRPr="00D37ADD">
              <w:rPr>
                <w:color w:val="000000"/>
              </w:rPr>
              <w:t>.is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12 840 033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TÁMOP-3.1.5-09/A-0057</w:t>
            </w:r>
            <w:proofErr w:type="gramStart"/>
            <w:r w:rsidRPr="00D37ADD">
              <w:rPr>
                <w:color w:val="000000"/>
              </w:rPr>
              <w:t>.Ped</w:t>
            </w:r>
            <w:proofErr w:type="gramEnd"/>
            <w:r w:rsidRPr="00D37ADD">
              <w:rPr>
                <w:color w:val="000000"/>
              </w:rPr>
              <w:t>.To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14 325 545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TÁMOP-3.4.3.-08/2/09/0030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4 212 400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TÁMOP-3.2.4.-08/1.09/22</w:t>
            </w:r>
            <w:proofErr w:type="gramStart"/>
            <w:r w:rsidRPr="00D37ADD">
              <w:rPr>
                <w:color w:val="000000"/>
              </w:rPr>
              <w:t>.K</w:t>
            </w:r>
            <w:proofErr w:type="gramEnd"/>
            <w:r w:rsidRPr="00D37ADD">
              <w:rPr>
                <w:color w:val="000000"/>
              </w:rPr>
              <w:t>.K.-KÖNYVTÁR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10 833 005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TÁMOP-4.1.2-0046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1 684 000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TÁMOP-4.1.2-0038.Tanany.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23 835 784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TÁMOP-4.1.2-0005.Tananyag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22 447 996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TÁMOP-4.1.2/08/0002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66 148 379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TÁMOP-4.2.3/08/2.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34 259 254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TÁMOP-4.1.1-08/1.-13.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69 556 962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TÁMOP-4.1.2-08/1/C/TÁM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19 348 777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TÁMOP-3.2.9./B-08/2-2010-000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3 499 946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TÁMOP-4.1.2/</w:t>
            </w:r>
            <w:proofErr w:type="gramStart"/>
            <w:r w:rsidRPr="00D37ADD">
              <w:rPr>
                <w:color w:val="000000"/>
              </w:rPr>
              <w:t>A</w:t>
            </w:r>
            <w:proofErr w:type="gramEnd"/>
            <w:r w:rsidRPr="00D37ADD">
              <w:rPr>
                <w:color w:val="000000"/>
              </w:rPr>
              <w:t>/10-0009.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36 597 737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TÁMOP-4.1.1/</w:t>
            </w:r>
            <w:proofErr w:type="gramStart"/>
            <w:r w:rsidRPr="00D37ADD">
              <w:rPr>
                <w:color w:val="000000"/>
              </w:rPr>
              <w:t>A</w:t>
            </w:r>
            <w:proofErr w:type="gramEnd"/>
            <w:r w:rsidRPr="00D37ADD">
              <w:rPr>
                <w:color w:val="000000"/>
              </w:rPr>
              <w:t>/KONV-10-0002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109 248 420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TÁMOP-3.2.3-08/2-0022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15 735 930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TÁMOP-4.2.1-09/1-0005.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13 474 561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TÁMOP-3.3.3-08/1-2009-0007.K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865 600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TÁMOP-4.1.2-08/1/A-0051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110 808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05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ÉMOP-1.2.1-08-11-RET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11 217 684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319"/>
          <w:jc w:val="center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RUBIRES/ERDF-pályázat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7ADD">
              <w:rPr>
                <w:color w:val="000000"/>
              </w:rPr>
              <w:t>4 066 841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ADD">
              <w:rPr>
                <w:color w:val="000000"/>
              </w:rPr>
              <w:t>Projekt megvalósítás folyamatban</w:t>
            </w:r>
          </w:p>
        </w:tc>
      </w:tr>
      <w:tr w:rsidR="00E430AA" w:rsidRPr="00D37ADD" w:rsidTr="00820B31">
        <w:trPr>
          <w:trHeight w:val="581"/>
          <w:jc w:val="center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37ADD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37ADD">
              <w:rPr>
                <w:b/>
                <w:bCs/>
                <w:color w:val="000000"/>
              </w:rPr>
              <w:t>962 750 182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30AA" w:rsidRPr="00D37ADD" w:rsidRDefault="00E430AA" w:rsidP="00820B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E430AA" w:rsidRDefault="00E430AA" w:rsidP="00E430AA">
      <w:pPr>
        <w:ind w:firstLine="426"/>
        <w:rPr>
          <w:b/>
          <w:iCs/>
        </w:rPr>
      </w:pPr>
    </w:p>
    <w:p w:rsidR="00E430AA" w:rsidRPr="006136BA" w:rsidRDefault="00E430AA" w:rsidP="00E430AA">
      <w:pPr>
        <w:ind w:firstLine="426"/>
      </w:pPr>
      <w:r w:rsidRPr="006136BA">
        <w:rPr>
          <w:b/>
          <w:iCs/>
        </w:rPr>
        <w:t xml:space="preserve">3.7. </w:t>
      </w:r>
      <w:r w:rsidRPr="006136BA">
        <w:rPr>
          <w:b/>
        </w:rPr>
        <w:t xml:space="preserve">Az Eszterházy Károly Gyakorló Iskola gazdálkodása </w:t>
      </w:r>
    </w:p>
    <w:p w:rsidR="00E430AA" w:rsidRPr="006136BA" w:rsidRDefault="00E430AA" w:rsidP="00E430AA">
      <w:pPr>
        <w:jc w:val="both"/>
        <w:rPr>
          <w:rFonts w:eastAsia="Arial Unicode MS"/>
        </w:rPr>
      </w:pPr>
      <w:r w:rsidRPr="006136BA">
        <w:rPr>
          <w:rFonts w:eastAsia="Arial Unicode MS"/>
        </w:rPr>
        <w:t>A gyakorlóiskola 2010-ben a normatív támogatások csökkenése ellenére, következetes gazdálkodást folytatva megőrizte működőképességét.</w:t>
      </w:r>
    </w:p>
    <w:p w:rsidR="00E430AA" w:rsidRPr="006136BA" w:rsidRDefault="00E430AA" w:rsidP="00E430AA">
      <w:pPr>
        <w:jc w:val="both"/>
      </w:pPr>
      <w:r w:rsidRPr="006136BA">
        <w:rPr>
          <w:rFonts w:eastAsia="Arial Unicode MS"/>
        </w:rPr>
        <w:t>Az iskolaépületek maximális kihasználtsággal üzemelnek, városunk legmagasabb létszámú tanulócsoportjaival.</w:t>
      </w:r>
    </w:p>
    <w:p w:rsidR="00E430AA" w:rsidRPr="006136BA" w:rsidRDefault="00E430AA" w:rsidP="00E430AA">
      <w:pPr>
        <w:jc w:val="both"/>
      </w:pPr>
      <w:r w:rsidRPr="006136BA">
        <w:t>A gyakorlóiskola gazdálkodását alapvetően meghatározta, hogy a 2009. évben 712.679.000 forint költségvetési törvény szerinti normatív támogatást kapott, ami közel 35.000.000 forinttal kevesebb a 2007. évi szintnél. A tendencia tovább folytatódott, így a 2010. évben a normatív támogatás összege 647.732.000 Ft-ra, közel 65 millió forinttal csökkent.</w:t>
      </w:r>
    </w:p>
    <w:p w:rsidR="00E430AA" w:rsidRPr="006136BA" w:rsidRDefault="00E430AA" w:rsidP="00E430AA">
      <w:pPr>
        <w:jc w:val="both"/>
        <w:rPr>
          <w:rFonts w:eastAsia="Arial Unicode MS"/>
        </w:rPr>
      </w:pPr>
      <w:r w:rsidRPr="006136BA">
        <w:rPr>
          <w:rFonts w:eastAsia="Arial Unicode MS"/>
        </w:rPr>
        <w:t>Ez a szűkös keret az alkalmazottak juttatását fedezi, a működést tekintve rendkívül fegyelmezett és ellenőrzött gazdálkodásra kényszerülünk. Ilyen körülmények között az átlagosnál hidegebb tél hatásai is súlyosak lehetnek.</w:t>
      </w:r>
    </w:p>
    <w:p w:rsidR="00E430AA" w:rsidRPr="006136BA" w:rsidRDefault="00E430AA" w:rsidP="00E430AA">
      <w:pPr>
        <w:jc w:val="both"/>
      </w:pPr>
      <w:r w:rsidRPr="006136BA">
        <w:t xml:space="preserve">Az iskola gazdálkodása a fenti csökkenések ellenére is stabil. Ez annak köszönhető, hogy a törvényi változások mellett (TB járulék), az intézményi bevételes tevékenységek, valamint a támogatási lehetőségek növelése 2010-re jelentősen hozzájárul a költségvetés fenntarthatóságához. A bevételek 2010. évben elérték a 25 millió forintot. A pályázati és egyéb támogatások összege közel 85 millió forint </w:t>
      </w:r>
      <w:r w:rsidRPr="006136BA">
        <w:lastRenderedPageBreak/>
        <w:t>volt. A másik lényeges takarékossági terület az intézményi kiadások racionalizálása, valamint a bérkifizetések (adható pótlékok) optimalizálása.</w:t>
      </w:r>
    </w:p>
    <w:p w:rsidR="00E430AA" w:rsidRPr="006136BA" w:rsidRDefault="00E430AA" w:rsidP="00E430AA">
      <w:pPr>
        <w:jc w:val="both"/>
      </w:pPr>
      <w:r w:rsidRPr="006136BA">
        <w:rPr>
          <w:rFonts w:eastAsia="Arial Unicode MS"/>
        </w:rPr>
        <w:t xml:space="preserve">Az új mesterképzési szakoknak megfelelő szakvezetői háttér kialakítása befejeződött. A szakvezetői munka magas szintű ellátása érdekében a 2010/2011. tanévben már optimalizálásra kerültek a kötelező szakvezetői óraszámok. Ennek következményeként – a Kjt. és a </w:t>
      </w:r>
      <w:proofErr w:type="spellStart"/>
      <w:r w:rsidRPr="006136BA">
        <w:rPr>
          <w:rFonts w:eastAsia="Arial Unicode MS"/>
        </w:rPr>
        <w:t>Mtv</w:t>
      </w:r>
      <w:proofErr w:type="spellEnd"/>
      <w:r w:rsidRPr="006136BA">
        <w:rPr>
          <w:rFonts w:eastAsia="Arial Unicode MS"/>
        </w:rPr>
        <w:t xml:space="preserve"> túlmunkára vonatkozó előírásaiból adódóan – az intézmény pedagógus állományát 25 fővel kellett növelni. Az intézkedés nem befolyásolta jelentős mértékben a bérgazdálkodásunkat, valamint hozzájárult a minőségi szakvezetői munka megteremtéséhez. A szakvezető pedagógusok az előző tanévhez képest csökkentett óraszámmal, szakvezetői pótlék juttatása mellett végzik feladataikat. A létszámnövekedéshez szükséges bértömeg eddig is rendelkezésünkre állt, csak ezt túlóradíjként fizette ki az intézmény. </w:t>
      </w:r>
    </w:p>
    <w:p w:rsidR="00E430AA" w:rsidRPr="006136BA" w:rsidRDefault="00E430AA" w:rsidP="00E430AA">
      <w:pPr>
        <w:jc w:val="both"/>
      </w:pPr>
      <w:r w:rsidRPr="006136BA">
        <w:t xml:space="preserve">A 2009. évi fegyelmezett gazdálkodásnak köszönhetően, a 2010. évben sikerült a rendelkezésre álló maradványösszegből olyan komoly, több év óta húzódó problémákat orvosolni, amelyek jelentősen befolyásolták épületeink állagát. A 12 millió forintos fejlesztés eredményeként megoldottuk a Bartók téri ingatlan gazdasági udvarának parkolási, csapadékelvezetési problémáit, az E épületi nyaktag beázását, illetve a </w:t>
      </w:r>
      <w:proofErr w:type="spellStart"/>
      <w:r w:rsidRPr="006136BA">
        <w:t>Barkóczy</w:t>
      </w:r>
      <w:proofErr w:type="spellEnd"/>
      <w:r w:rsidRPr="006136BA">
        <w:t xml:space="preserve"> utcai ingatlan esetében a </w:t>
      </w:r>
      <w:proofErr w:type="spellStart"/>
      <w:r w:rsidRPr="006136BA">
        <w:t>Barkóczy</w:t>
      </w:r>
      <w:proofErr w:type="spellEnd"/>
      <w:r w:rsidRPr="006136BA">
        <w:t xml:space="preserve"> utca felé a vízelvezetést biztosító csapadékcsatorna-rendszer felújítását.</w:t>
      </w:r>
    </w:p>
    <w:p w:rsidR="00E430AA" w:rsidRPr="006136BA" w:rsidRDefault="00E430AA" w:rsidP="00E430AA">
      <w:pPr>
        <w:jc w:val="both"/>
      </w:pPr>
      <w:r w:rsidRPr="006136BA">
        <w:t xml:space="preserve">Fontos azt is megemlíteni, hogy 2010. évben a fenntartó működési költségeihez a gyakorló iskola normatív keretéből 15 millió </w:t>
      </w:r>
      <w:r w:rsidR="00F62251">
        <w:t>f</w:t>
      </w:r>
      <w:r w:rsidRPr="006136BA">
        <w:t xml:space="preserve">orinttal járult hozzá. Igaz, hogy a 2010. évi informatikai fejlesztésekhez a főiskola jelentős </w:t>
      </w:r>
      <w:r w:rsidR="00F62251">
        <w:t>támogatást adott</w:t>
      </w:r>
      <w:r w:rsidRPr="006136BA">
        <w:t>.</w:t>
      </w:r>
    </w:p>
    <w:p w:rsidR="00E430AA" w:rsidRPr="006136BA" w:rsidRDefault="00E430AA" w:rsidP="00E430AA">
      <w:pPr>
        <w:jc w:val="both"/>
      </w:pPr>
      <w:r w:rsidRPr="006136BA">
        <w:t xml:space="preserve">A 2011. évben az </w:t>
      </w:r>
      <w:proofErr w:type="gramStart"/>
      <w:r w:rsidRPr="006136BA">
        <w:t>intézmény jelentős</w:t>
      </w:r>
      <w:proofErr w:type="gramEnd"/>
      <w:r w:rsidRPr="006136BA">
        <w:t xml:space="preserve"> beruházás megkezdését tervezi. Az építménnyel nemcsak az iskola, hanem a főiskola is gazdagodik. A beruházás 70 millió Ft önerejének előteremtése megkezdődött. Ez a fejlesztés az iskolára hatalmas terheket ró, így mindenképpen szükséges a fenntartó támogató, segítő hozzájárulása.</w:t>
      </w:r>
    </w:p>
    <w:p w:rsidR="00E430AA" w:rsidRPr="006136BA" w:rsidRDefault="00E430AA" w:rsidP="00E430AA">
      <w:pPr>
        <w:jc w:val="both"/>
      </w:pPr>
    </w:p>
    <w:p w:rsidR="00E430AA" w:rsidRPr="006136BA" w:rsidRDefault="00E430AA" w:rsidP="00E430AA">
      <w:pPr>
        <w:jc w:val="both"/>
      </w:pPr>
      <w:r w:rsidRPr="006136BA">
        <w:t>Ahogy azt a 2010. évben már jeleztük, az intézménynél rendelkezésre álló források 2011-ben nem elegendőek az épületek állagának megóvásához, egyéb eszközfejlesztésekhez. Az iskola tartalékai a költségvetési megszorítások következtében mára elfogytak. Az utolsó lehetőségünk az infrastruktúra és humán fejlesztésekre a pályázati források becsatornázásával kimerül.</w:t>
      </w:r>
    </w:p>
    <w:p w:rsidR="00E430AA" w:rsidRPr="006136BA" w:rsidRDefault="00E430AA" w:rsidP="00E430AA">
      <w:pPr>
        <w:jc w:val="both"/>
      </w:pPr>
      <w:r w:rsidRPr="006136BA">
        <w:rPr>
          <w:rFonts w:eastAsia="Arial Unicode MS"/>
        </w:rPr>
        <w:t>A működési költségeket igyekeztünk az előző évi szinten tartani. Saját, fenntartói és pályázati források felhasználásával korszerű IKT eszközökkel felszerelt tantermeket alakítottunk ki, melyekben a tanulói lapto</w:t>
      </w:r>
      <w:r w:rsidR="00D96CBD">
        <w:rPr>
          <w:rFonts w:eastAsia="Arial Unicode MS"/>
        </w:rPr>
        <w:t>p</w:t>
      </w:r>
      <w:r w:rsidRPr="006136BA">
        <w:rPr>
          <w:rFonts w:eastAsia="Arial Unicode MS"/>
        </w:rPr>
        <w:t>ok is elhelyezést nyertek.</w:t>
      </w:r>
    </w:p>
    <w:p w:rsidR="00E430AA" w:rsidRPr="006136BA" w:rsidRDefault="00E430AA" w:rsidP="00E430AA">
      <w:pPr>
        <w:jc w:val="both"/>
      </w:pPr>
    </w:p>
    <w:p w:rsidR="00E430AA" w:rsidRPr="006136BA" w:rsidRDefault="00E430AA" w:rsidP="00E430AA">
      <w:pPr>
        <w:jc w:val="both"/>
        <w:rPr>
          <w:b/>
        </w:rPr>
      </w:pPr>
      <w:r w:rsidRPr="006136BA">
        <w:rPr>
          <w:b/>
        </w:rPr>
        <w:t>Jelenleg folyó pályázataink: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>TÁMOP - 3.1.5-09/</w:t>
      </w:r>
      <w:proofErr w:type="gramStart"/>
      <w:r w:rsidRPr="006136BA">
        <w:t>A</w:t>
      </w:r>
      <w:proofErr w:type="gramEnd"/>
      <w:r w:rsidRPr="006136BA">
        <w:t xml:space="preserve">/2 - Pedagógusképzések (a pedagógiai kultúra korszerűsítése, pedagógusok új szerepben) (konvergencia) 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 xml:space="preserve">TÁMOP - 3.2.9/B-08/2 Audiovizuális emlékgyűjtés 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>TÁMOP - 3.4.3-08/2 Iskolai tehetséggondozás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>TÁMOP - 3.2.1</w:t>
      </w:r>
      <w:proofErr w:type="gramStart"/>
      <w:r w:rsidRPr="006136BA">
        <w:t>.B-09</w:t>
      </w:r>
      <w:proofErr w:type="gramEnd"/>
      <w:r w:rsidRPr="006136BA">
        <w:t xml:space="preserve">/2 Új tanulási formák és rendszerek – Digitális Középiskola program 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 xml:space="preserve">TIOP - 1.1.1/09/1 - A pedagógiai, módszertani reformot támogató informatikai infrastruktúra fejlesztése 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>TIOP 3.1.1-09/1 TISZK rendszerhez kapcsolódó infrastrukturális fejlesztések</w:t>
      </w:r>
    </w:p>
    <w:p w:rsidR="00E430AA" w:rsidRPr="006136BA" w:rsidRDefault="00E430AA" w:rsidP="00E430AA">
      <w:pPr>
        <w:jc w:val="both"/>
        <w:rPr>
          <w:b/>
        </w:rPr>
      </w:pPr>
      <w:r w:rsidRPr="006136BA">
        <w:rPr>
          <w:b/>
        </w:rPr>
        <w:t>Megítélt támogatások: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 xml:space="preserve">KEOP - 2009 - 3.3.0 Az erdei iskola és erdei óvoda hálózat infrastrukturális fejlesztése 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t>KEOP - 2009 - 5.3.0/</w:t>
      </w:r>
      <w:proofErr w:type="gramStart"/>
      <w:r w:rsidRPr="006136BA">
        <w:t>A</w:t>
      </w:r>
      <w:proofErr w:type="gramEnd"/>
      <w:r w:rsidRPr="006136BA">
        <w:t xml:space="preserve"> - Épületenergetikai fejlesztések és közvilágítás korszerűsítése</w:t>
      </w:r>
    </w:p>
    <w:p w:rsidR="00E430AA" w:rsidRPr="006136BA" w:rsidRDefault="00E430AA" w:rsidP="00E430AA">
      <w:pPr>
        <w:numPr>
          <w:ilvl w:val="0"/>
          <w:numId w:val="19"/>
        </w:numPr>
        <w:jc w:val="both"/>
      </w:pPr>
      <w:r w:rsidRPr="006136BA">
        <w:t xml:space="preserve">TÁMOP - 3.1.3-10/2 </w:t>
      </w:r>
      <w:proofErr w:type="gramStart"/>
      <w:r w:rsidRPr="006136BA">
        <w:t>A</w:t>
      </w:r>
      <w:proofErr w:type="gramEnd"/>
      <w:r w:rsidRPr="006136BA">
        <w:t xml:space="preserve"> természettudományos oktatás módszertanának és eszközrendszerének megújítása a közoktatásban</w:t>
      </w:r>
    </w:p>
    <w:p w:rsidR="00E430AA" w:rsidRPr="006136BA" w:rsidRDefault="00E430AA" w:rsidP="00E430AA">
      <w:pPr>
        <w:numPr>
          <w:ilvl w:val="0"/>
          <w:numId w:val="19"/>
        </w:numPr>
        <w:jc w:val="both"/>
      </w:pPr>
      <w:r w:rsidRPr="006136BA">
        <w:t>TÁMOP – 3.2.11-10-1 Nevelési-oktatási intézmények tanórai, tanórán kívüli és szabadidős tevékenységeinek támogatása</w:t>
      </w:r>
    </w:p>
    <w:p w:rsidR="00E430AA" w:rsidRPr="006136BA" w:rsidRDefault="00E430AA" w:rsidP="00E430AA">
      <w:pPr>
        <w:jc w:val="both"/>
        <w:rPr>
          <w:b/>
        </w:rPr>
      </w:pPr>
    </w:p>
    <w:p w:rsidR="00E430AA" w:rsidRPr="006136BA" w:rsidRDefault="00E430AA" w:rsidP="00E430AA">
      <w:pPr>
        <w:jc w:val="both"/>
        <w:rPr>
          <w:b/>
        </w:rPr>
      </w:pPr>
      <w:r w:rsidRPr="006136BA">
        <w:rPr>
          <w:b/>
        </w:rPr>
        <w:t>2010-ben lezárult pályázataink:</w:t>
      </w:r>
    </w:p>
    <w:p w:rsidR="00E430AA" w:rsidRPr="006136BA" w:rsidRDefault="00E430AA" w:rsidP="00E430AA">
      <w:pPr>
        <w:numPr>
          <w:ilvl w:val="0"/>
          <w:numId w:val="18"/>
        </w:numPr>
        <w:jc w:val="both"/>
      </w:pPr>
      <w:r w:rsidRPr="006136BA">
        <w:lastRenderedPageBreak/>
        <w:t>TÁMOP - 3.1.4-09/1 Kompetencia alapú oktatás, egyenlő hozzáférés – Innovatív intézményekben</w:t>
      </w:r>
    </w:p>
    <w:p w:rsidR="00E430AA" w:rsidRPr="006136BA" w:rsidRDefault="00E430AA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4. Az előirányzattal rendelkező szervezeti egységeink gazdálkodása</w:t>
      </w:r>
    </w:p>
    <w:p w:rsidR="00E430AA" w:rsidRPr="006136BA" w:rsidRDefault="00E430AA" w:rsidP="00E430AA">
      <w:pPr>
        <w:jc w:val="both"/>
        <w:rPr>
          <w:iCs/>
        </w:rPr>
      </w:pPr>
      <w:r w:rsidRPr="006136BA">
        <w:rPr>
          <w:iCs/>
        </w:rPr>
        <w:t>A szervezeti egységek 2010. évi támogatását a Szenátus hagyta jóvá. Tanszékeink, hivatalaink és a Gyakorló Iskolánk a rendelkezésükre bocsátott keretek betartásával gazdálkod</w:t>
      </w:r>
      <w:r w:rsidR="00D96CBD">
        <w:rPr>
          <w:iCs/>
        </w:rPr>
        <w:t>tak, túlköltésre nem került sor, sem külső, sem belső adósságunk nem keletkezett.</w:t>
      </w:r>
    </w:p>
    <w:p w:rsidR="00473A3F" w:rsidRPr="006136BA" w:rsidRDefault="00473A3F" w:rsidP="00E430AA">
      <w:pPr>
        <w:jc w:val="both"/>
        <w:rPr>
          <w:b/>
          <w:iCs/>
        </w:rPr>
      </w:pPr>
    </w:p>
    <w:p w:rsidR="00E430AA" w:rsidRPr="006136BA" w:rsidRDefault="00E430AA" w:rsidP="00E430AA">
      <w:pPr>
        <w:jc w:val="both"/>
        <w:rPr>
          <w:b/>
          <w:iCs/>
        </w:rPr>
      </w:pPr>
      <w:r w:rsidRPr="006136BA">
        <w:rPr>
          <w:b/>
          <w:iCs/>
        </w:rPr>
        <w:t>5. Nemzetközi kapcsolataink</w:t>
      </w:r>
    </w:p>
    <w:p w:rsidR="00820B31" w:rsidRDefault="00820B31" w:rsidP="00820B31">
      <w:pPr>
        <w:jc w:val="both"/>
        <w:rPr>
          <w:color w:val="1F497D"/>
        </w:rPr>
      </w:pPr>
      <w:r w:rsidRPr="00820B31">
        <w:t xml:space="preserve">Új együttműködő partnerek keresésében illetve a </w:t>
      </w:r>
      <w:proofErr w:type="gramStart"/>
      <w:r w:rsidRPr="00820B31">
        <w:t>meglevő</w:t>
      </w:r>
      <w:proofErr w:type="gramEnd"/>
      <w:r w:rsidRPr="00820B31">
        <w:t xml:space="preserve"> kapcsolatok szélesítésében</w:t>
      </w:r>
      <w:r>
        <w:t xml:space="preserve"> is sikeres tevékenységet folytattunk. Intézményünkben szerződés aláírási látogatásra fogadtuk az Open University Malaysia delegációját, illetve szerződés előkészítés történt az </w:t>
      </w:r>
      <w:proofErr w:type="spellStart"/>
      <w:r>
        <w:t>Indonesian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 vezetőivel. Intézményünk vezetősége májusban Poriban tett hivatalos látogatást, amelynek eredményeként ERASMUS partneri együttműködést irtunk alá a </w:t>
      </w:r>
      <w:proofErr w:type="spellStart"/>
      <w:r>
        <w:t>Satakunta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Sciences-sel</w:t>
      </w:r>
      <w:proofErr w:type="spellEnd"/>
      <w:r>
        <w:t xml:space="preserve">, illetve decemberben egyiptomi partnerintézményünkkel közösen szervezett tudományos konferencia eredményeként </w:t>
      </w:r>
      <w:proofErr w:type="gramStart"/>
      <w:r>
        <w:t>szerződés hosszabbítás</w:t>
      </w:r>
      <w:proofErr w:type="gramEnd"/>
      <w:r>
        <w:t xml:space="preserve"> történt  a </w:t>
      </w:r>
      <w:r>
        <w:rPr>
          <w:iCs/>
        </w:rPr>
        <w:t xml:space="preserve">Delta </w:t>
      </w:r>
      <w:proofErr w:type="spellStart"/>
      <w:r>
        <w:rPr>
          <w:iCs/>
        </w:rPr>
        <w:t>Higher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Institutes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Engineering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Computers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Social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Work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Mansoura</w:t>
      </w:r>
      <w:proofErr w:type="spellEnd"/>
      <w:r>
        <w:t xml:space="preserve"> és a </w:t>
      </w:r>
      <w:r>
        <w:rPr>
          <w:iCs/>
        </w:rPr>
        <w:t xml:space="preserve">Delta </w:t>
      </w:r>
      <w:proofErr w:type="spellStart"/>
      <w:r>
        <w:rPr>
          <w:iCs/>
        </w:rPr>
        <w:t>University-vel</w:t>
      </w:r>
      <w:proofErr w:type="spellEnd"/>
      <w:r>
        <w:rPr>
          <w:iCs/>
        </w:rPr>
        <w:t xml:space="preserve">. . </w:t>
      </w:r>
    </w:p>
    <w:p w:rsidR="00820B31" w:rsidRDefault="00820B31" w:rsidP="00820B31">
      <w:pPr>
        <w:jc w:val="both"/>
      </w:pPr>
      <w:r>
        <w:t xml:space="preserve">Tovább folytattuk részvételünket a CEEPUS programban is. Sikereket értünk el a </w:t>
      </w:r>
      <w:proofErr w:type="spellStart"/>
      <w:r>
        <w:t>Fulbright</w:t>
      </w:r>
      <w:proofErr w:type="spellEnd"/>
      <w:r>
        <w:t xml:space="preserve"> program terén is mivel a tavaszi félévben fogadtunk oktatót, illetve egy oktatónk el is nyert egy ösztöndíjat, amelyet 2011 februárjában kezd el. További sikeres együttműködést folytattunk amerikai partnerintézményünkkel, a </w:t>
      </w:r>
      <w:proofErr w:type="spellStart"/>
      <w:r>
        <w:t>Valdosta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University-vel</w:t>
      </w:r>
      <w:proofErr w:type="spellEnd"/>
      <w:r>
        <w:t xml:space="preserve">, ahol egy professzorunk egy éves ösztöndíjat nyert 2010 augusztusától, illetve intézményünk adminisztratív vezetői csoportját hivatalos látogatáson fogadták március hónap folyamán. További jelentős eredménynek könyvelhető el, hogy </w:t>
      </w:r>
      <w:proofErr w:type="gramStart"/>
      <w:r>
        <w:t>decemberben intézményünkben</w:t>
      </w:r>
      <w:proofErr w:type="gramEnd"/>
      <w:r>
        <w:t xml:space="preserve"> fogadtuk a NHL </w:t>
      </w:r>
      <w:proofErr w:type="spellStart"/>
      <w:r>
        <w:t>Applied</w:t>
      </w:r>
      <w:proofErr w:type="spellEnd"/>
      <w:r>
        <w:t xml:space="preserve"> University </w:t>
      </w:r>
      <w:proofErr w:type="spellStart"/>
      <w:r>
        <w:t>Leeuwarden</w:t>
      </w:r>
      <w:proofErr w:type="spellEnd"/>
      <w:r>
        <w:t xml:space="preserve"> több mint 90 fős hallgatói és oktatói delegációját miközben otthont adtunk a Project International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workshopnak</w:t>
      </w:r>
      <w:proofErr w:type="spellEnd"/>
      <w:r>
        <w:t>.</w:t>
      </w:r>
    </w:p>
    <w:p w:rsidR="00820B31" w:rsidRDefault="00820B31" w:rsidP="00E430AA">
      <w:pPr>
        <w:spacing w:line="360" w:lineRule="auto"/>
        <w:jc w:val="both"/>
        <w:rPr>
          <w:b/>
          <w:iCs/>
        </w:rPr>
      </w:pPr>
    </w:p>
    <w:p w:rsidR="00E430AA" w:rsidRPr="006136BA" w:rsidRDefault="00E430AA" w:rsidP="00E430AA">
      <w:pPr>
        <w:spacing w:line="360" w:lineRule="auto"/>
        <w:jc w:val="both"/>
        <w:rPr>
          <w:b/>
          <w:iCs/>
        </w:rPr>
      </w:pPr>
      <w:r w:rsidRPr="006136BA">
        <w:rPr>
          <w:b/>
          <w:iCs/>
        </w:rPr>
        <w:t>6. A költségvetési év gazdálkodásának általános értékelése</w:t>
      </w:r>
    </w:p>
    <w:p w:rsidR="00E430AA" w:rsidRPr="00115006" w:rsidRDefault="00E430AA" w:rsidP="00E430AA">
      <w:pPr>
        <w:spacing w:line="360" w:lineRule="auto"/>
        <w:jc w:val="center"/>
        <w:rPr>
          <w:b/>
          <w:iCs/>
          <w:sz w:val="28"/>
          <w:szCs w:val="28"/>
        </w:rPr>
      </w:pPr>
      <w:proofErr w:type="spellStart"/>
      <w:r w:rsidRPr="00115006">
        <w:rPr>
          <w:b/>
          <w:iCs/>
          <w:sz w:val="28"/>
          <w:szCs w:val="28"/>
        </w:rPr>
        <w:t>CSWOT-analízis</w:t>
      </w:r>
      <w:proofErr w:type="spellEnd"/>
    </w:p>
    <w:tbl>
      <w:tblPr>
        <w:tblW w:w="0" w:type="auto"/>
        <w:tblLook w:val="01E0"/>
      </w:tblPr>
      <w:tblGrid>
        <w:gridCol w:w="5202"/>
        <w:gridCol w:w="5218"/>
      </w:tblGrid>
      <w:tr w:rsidR="00E430AA" w:rsidRPr="006136BA" w:rsidTr="00820B31">
        <w:trPr>
          <w:trHeight w:val="1056"/>
        </w:trPr>
        <w:tc>
          <w:tcPr>
            <w:tcW w:w="105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30AA" w:rsidRPr="006136BA" w:rsidRDefault="00E430AA" w:rsidP="00820B31">
            <w:pPr>
              <w:ind w:left="360"/>
              <w:jc w:val="center"/>
              <w:rPr>
                <w:b/>
                <w:bCs/>
                <w:iCs/>
                <w:u w:val="single"/>
              </w:rPr>
            </w:pPr>
            <w:r w:rsidRPr="006136BA">
              <w:rPr>
                <w:b/>
                <w:bCs/>
                <w:iCs/>
                <w:u w:val="single"/>
              </w:rPr>
              <w:t>Korlátok:</w:t>
            </w:r>
          </w:p>
          <w:p w:rsidR="00E430AA" w:rsidRPr="006136BA" w:rsidRDefault="00E430AA" w:rsidP="00820B31">
            <w:pPr>
              <w:ind w:left="360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A költségvetési gazdálkodás és a KJT merev szabályai.</w:t>
            </w:r>
          </w:p>
          <w:p w:rsidR="00E430AA" w:rsidRPr="006136BA" w:rsidRDefault="00E430AA" w:rsidP="00820B31">
            <w:pPr>
              <w:ind w:left="360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A 7 telephely miatti költséghatékonyság.</w:t>
            </w:r>
          </w:p>
          <w:p w:rsidR="00E430AA" w:rsidRPr="006136BA" w:rsidRDefault="00E430AA" w:rsidP="00820B31">
            <w:pPr>
              <w:ind w:left="360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A működésre fordítható költségvetési támogatás reálértékének csökkenése.</w:t>
            </w:r>
          </w:p>
          <w:p w:rsidR="00E430AA" w:rsidRPr="006136BA" w:rsidRDefault="00E430AA" w:rsidP="00820B31">
            <w:pPr>
              <w:ind w:left="360"/>
              <w:jc w:val="center"/>
              <w:rPr>
                <w:b/>
                <w:bCs/>
                <w:iCs/>
              </w:rPr>
            </w:pPr>
            <w:r w:rsidRPr="006136BA">
              <w:rPr>
                <w:b/>
                <w:bCs/>
                <w:iCs/>
              </w:rPr>
              <w:t>2011. évi zár</w:t>
            </w:r>
            <w:r w:rsidR="00F62251">
              <w:rPr>
                <w:b/>
                <w:bCs/>
                <w:iCs/>
              </w:rPr>
              <w:t>olás Korm. hat. alapján</w:t>
            </w:r>
          </w:p>
        </w:tc>
      </w:tr>
      <w:tr w:rsidR="00E430AA" w:rsidRPr="006136BA" w:rsidTr="00115006">
        <w:trPr>
          <w:trHeight w:val="2380"/>
        </w:trPr>
        <w:tc>
          <w:tcPr>
            <w:tcW w:w="52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430AA" w:rsidRPr="006136BA" w:rsidRDefault="00E430AA" w:rsidP="00820B31">
            <w:pPr>
              <w:ind w:firstLine="360"/>
              <w:jc w:val="both"/>
              <w:rPr>
                <w:b/>
                <w:bCs/>
                <w:iCs/>
                <w:u w:val="single"/>
              </w:rPr>
            </w:pPr>
            <w:r w:rsidRPr="006136BA">
              <w:rPr>
                <w:b/>
                <w:bCs/>
                <w:iCs/>
                <w:u w:val="single"/>
              </w:rPr>
              <w:t>Erősségek:</w:t>
            </w:r>
          </w:p>
          <w:p w:rsidR="00E430AA" w:rsidRPr="006136BA" w:rsidRDefault="00E430AA" w:rsidP="00820B31">
            <w:pPr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2010. évi költségvetési gazdálkodás stabil volt, a képződött pénzmaradvány segíti a 2011. feladatok megoldását.</w:t>
            </w:r>
          </w:p>
          <w:p w:rsidR="00E430AA" w:rsidRPr="006136BA" w:rsidRDefault="00E430AA" w:rsidP="00820B31">
            <w:pPr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Jól működő könyvelési és bér szoftverek.</w:t>
            </w:r>
          </w:p>
          <w:p w:rsidR="00E430AA" w:rsidRPr="006136BA" w:rsidRDefault="00E430AA" w:rsidP="00820B31">
            <w:pPr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Szakképzett gazdasági apparátus.</w:t>
            </w:r>
          </w:p>
          <w:p w:rsidR="00E430AA" w:rsidRPr="006136BA" w:rsidRDefault="00E430AA" w:rsidP="00820B31">
            <w:pPr>
              <w:numPr>
                <w:ilvl w:val="0"/>
                <w:numId w:val="4"/>
              </w:numPr>
              <w:jc w:val="both"/>
              <w:rPr>
                <w:b/>
                <w:bCs/>
                <w:i/>
                <w:iCs/>
              </w:rPr>
            </w:pPr>
            <w:r w:rsidRPr="006136BA">
              <w:rPr>
                <w:bCs/>
                <w:iCs/>
              </w:rPr>
              <w:t>Az akadémiai és a gazdasági vezetés eredményesen működő kapcsolata</w:t>
            </w:r>
            <w:r w:rsidRPr="006136BA">
              <w:rPr>
                <w:bCs/>
                <w:i/>
                <w:iCs/>
              </w:rPr>
              <w:t>.</w:t>
            </w:r>
          </w:p>
        </w:tc>
        <w:tc>
          <w:tcPr>
            <w:tcW w:w="5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430AA" w:rsidRPr="006136BA" w:rsidRDefault="00E430AA" w:rsidP="00820B31">
            <w:pPr>
              <w:ind w:firstLine="290"/>
              <w:jc w:val="both"/>
              <w:rPr>
                <w:b/>
                <w:bCs/>
                <w:iCs/>
                <w:u w:val="single"/>
              </w:rPr>
            </w:pPr>
            <w:r w:rsidRPr="006136BA">
              <w:rPr>
                <w:b/>
                <w:bCs/>
                <w:iCs/>
                <w:u w:val="single"/>
              </w:rPr>
              <w:t>Gyengeségek:</w:t>
            </w:r>
          </w:p>
          <w:p w:rsidR="00E430AA" w:rsidRPr="006136BA" w:rsidRDefault="00E430AA" w:rsidP="00820B31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A vezetői információs rendszer nem kielégítő működése.</w:t>
            </w:r>
          </w:p>
          <w:p w:rsidR="00E430AA" w:rsidRPr="006136BA" w:rsidRDefault="00E430AA" w:rsidP="00820B31">
            <w:pPr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E430AA" w:rsidRPr="006136BA" w:rsidTr="00115006">
        <w:trPr>
          <w:trHeight w:val="3947"/>
        </w:trPr>
        <w:tc>
          <w:tcPr>
            <w:tcW w:w="52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430AA" w:rsidRPr="006136BA" w:rsidRDefault="00E430AA" w:rsidP="00820B31">
            <w:pPr>
              <w:ind w:firstLine="360"/>
              <w:jc w:val="both"/>
              <w:rPr>
                <w:b/>
                <w:bCs/>
                <w:iCs/>
                <w:u w:val="single"/>
              </w:rPr>
            </w:pPr>
            <w:r w:rsidRPr="006136BA">
              <w:rPr>
                <w:b/>
                <w:bCs/>
                <w:iCs/>
                <w:u w:val="single"/>
              </w:rPr>
              <w:lastRenderedPageBreak/>
              <w:t>Lehetőségek:</w:t>
            </w:r>
          </w:p>
          <w:p w:rsidR="00E430AA" w:rsidRPr="006136BA" w:rsidRDefault="00E430AA" w:rsidP="00820B31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Fokozódó pályázati tevékenységeinken elszámolható rezsiköltségek forrásbővülése.</w:t>
            </w:r>
          </w:p>
          <w:p w:rsidR="00E430AA" w:rsidRPr="006136BA" w:rsidRDefault="00E430AA" w:rsidP="00820B31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A mesterképzési szakok iránti igénynövekedés a költségvetési támogatás összegét növelheti, melynek kedvezőbb normatív finanszírozása van.</w:t>
            </w:r>
          </w:p>
          <w:p w:rsidR="00E430AA" w:rsidRPr="006136BA" w:rsidRDefault="00E430AA" w:rsidP="00820B31">
            <w:pPr>
              <w:ind w:left="360"/>
              <w:jc w:val="both"/>
              <w:rPr>
                <w:bCs/>
                <w:iCs/>
              </w:rPr>
            </w:pPr>
          </w:p>
          <w:p w:rsidR="00E430AA" w:rsidRPr="006136BA" w:rsidRDefault="00E430AA" w:rsidP="00820B31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</w:rPr>
            </w:pPr>
            <w:r w:rsidRPr="006136BA">
              <w:rPr>
                <w:bCs/>
                <w:iCs/>
              </w:rPr>
              <w:t>Kreditek és tanegységek felülvizsgálata, racionalizálása.</w:t>
            </w:r>
          </w:p>
        </w:tc>
        <w:tc>
          <w:tcPr>
            <w:tcW w:w="529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430AA" w:rsidRPr="006136BA" w:rsidRDefault="00E430AA" w:rsidP="00820B31">
            <w:pPr>
              <w:ind w:firstLine="290"/>
              <w:jc w:val="both"/>
              <w:rPr>
                <w:b/>
                <w:bCs/>
                <w:iCs/>
                <w:u w:val="single"/>
              </w:rPr>
            </w:pPr>
            <w:r w:rsidRPr="006136BA">
              <w:rPr>
                <w:b/>
                <w:bCs/>
                <w:iCs/>
                <w:u w:val="single"/>
              </w:rPr>
              <w:t>Veszélyek:</w:t>
            </w:r>
          </w:p>
          <w:p w:rsidR="00E430AA" w:rsidRPr="006136BA" w:rsidRDefault="00E430AA" w:rsidP="00820B31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A költségtérítéses képzés bevételének kedvezőtlen alakulása miatt csökken az elvonható rezsiköltség tömege.</w:t>
            </w:r>
          </w:p>
          <w:p w:rsidR="00E430AA" w:rsidRPr="006136BA" w:rsidRDefault="00E430AA" w:rsidP="00820B31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A kedvezőtlen makrogazdasági folyamatok (forint árfolyamának gyengülése, energia árának emelkedése) kiadásainkat több tízmilliós nagyságrenddel növelheti.</w:t>
            </w:r>
          </w:p>
          <w:p w:rsidR="00E430AA" w:rsidRPr="006136BA" w:rsidRDefault="00E430AA" w:rsidP="00820B31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proofErr w:type="spellStart"/>
            <w:r w:rsidRPr="006136BA">
              <w:rPr>
                <w:bCs/>
                <w:iCs/>
              </w:rPr>
              <w:t>Kislétszámú</w:t>
            </w:r>
            <w:proofErr w:type="spellEnd"/>
            <w:r w:rsidRPr="006136BA">
              <w:rPr>
                <w:bCs/>
                <w:iCs/>
              </w:rPr>
              <w:t xml:space="preserve"> szakok a fajlagos költségeket jelentősen növelik.</w:t>
            </w:r>
          </w:p>
          <w:p w:rsidR="00E430AA" w:rsidRPr="006136BA" w:rsidRDefault="00E430AA" w:rsidP="00820B31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Kötelezően elvégzendő bérfejlesztésekhez (átsorolások, előlépések</w:t>
            </w:r>
            <w:proofErr w:type="gramStart"/>
            <w:r w:rsidRPr="006136BA">
              <w:rPr>
                <w:bCs/>
                <w:iCs/>
              </w:rPr>
              <w:t>)  nem</w:t>
            </w:r>
            <w:proofErr w:type="gramEnd"/>
            <w:r w:rsidRPr="006136BA">
              <w:rPr>
                <w:bCs/>
                <w:iCs/>
              </w:rPr>
              <w:t xml:space="preserve"> biztosított költségvetési támogatás.</w:t>
            </w:r>
          </w:p>
          <w:p w:rsidR="00E430AA" w:rsidRPr="006136BA" w:rsidRDefault="00E430AA" w:rsidP="00820B31">
            <w:pPr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6136BA">
              <w:rPr>
                <w:bCs/>
                <w:iCs/>
              </w:rPr>
              <w:t>Maradványtartási kötelezettség előírása.</w:t>
            </w:r>
          </w:p>
          <w:p w:rsidR="00E430AA" w:rsidRPr="006136BA" w:rsidRDefault="00E430AA" w:rsidP="00820B31">
            <w:pPr>
              <w:jc w:val="both"/>
              <w:rPr>
                <w:b/>
                <w:bCs/>
                <w:iCs/>
              </w:rPr>
            </w:pPr>
          </w:p>
        </w:tc>
      </w:tr>
    </w:tbl>
    <w:p w:rsidR="00E430AA" w:rsidRPr="006136BA" w:rsidRDefault="00E430AA" w:rsidP="00E430AA">
      <w:pPr>
        <w:rPr>
          <w:b/>
        </w:rPr>
      </w:pPr>
    </w:p>
    <w:p w:rsidR="00E430AA" w:rsidRPr="006136BA" w:rsidRDefault="00E430AA" w:rsidP="00E430AA">
      <w:pPr>
        <w:tabs>
          <w:tab w:val="center" w:pos="8505"/>
        </w:tabs>
      </w:pPr>
    </w:p>
    <w:p w:rsidR="00E430AA" w:rsidRPr="006136BA" w:rsidRDefault="00E430AA" w:rsidP="00E430AA">
      <w:pPr>
        <w:tabs>
          <w:tab w:val="center" w:pos="8505"/>
        </w:tabs>
      </w:pPr>
    </w:p>
    <w:p w:rsidR="00E430AA" w:rsidRPr="006136BA" w:rsidRDefault="00E430AA" w:rsidP="00E430AA">
      <w:pPr>
        <w:tabs>
          <w:tab w:val="center" w:pos="8505"/>
        </w:tabs>
      </w:pPr>
      <w:r w:rsidRPr="006136BA">
        <w:t xml:space="preserve">Eger, 2011. március 30. </w:t>
      </w:r>
      <w:r w:rsidRPr="006136BA">
        <w:tab/>
      </w:r>
    </w:p>
    <w:p w:rsidR="00E430AA" w:rsidRPr="006136BA" w:rsidRDefault="00E430AA" w:rsidP="00E430AA">
      <w:pPr>
        <w:tabs>
          <w:tab w:val="center" w:pos="8505"/>
        </w:tabs>
      </w:pPr>
      <w:r w:rsidRPr="006136BA">
        <w:tab/>
      </w:r>
    </w:p>
    <w:p w:rsidR="00E430AA" w:rsidRDefault="00E430AA" w:rsidP="00E430AA">
      <w:pPr>
        <w:tabs>
          <w:tab w:val="center" w:pos="8505"/>
        </w:tabs>
      </w:pPr>
    </w:p>
    <w:p w:rsidR="002554F3" w:rsidRDefault="002554F3" w:rsidP="00E430AA">
      <w:pPr>
        <w:tabs>
          <w:tab w:val="center" w:pos="8505"/>
        </w:tabs>
      </w:pPr>
    </w:p>
    <w:p w:rsidR="002554F3" w:rsidRPr="006136BA" w:rsidRDefault="002554F3" w:rsidP="00E430AA">
      <w:pPr>
        <w:tabs>
          <w:tab w:val="center" w:pos="8505"/>
        </w:tabs>
      </w:pPr>
    </w:p>
    <w:p w:rsidR="00E430AA" w:rsidRPr="006136BA" w:rsidRDefault="00E430AA" w:rsidP="002554F3">
      <w:pPr>
        <w:tabs>
          <w:tab w:val="center" w:pos="1701"/>
          <w:tab w:val="center" w:pos="8505"/>
        </w:tabs>
      </w:pPr>
      <w:r w:rsidRPr="006136BA">
        <w:tab/>
      </w:r>
      <w:r w:rsidR="00EF55D5" w:rsidRPr="00EF55D5">
        <w:rPr>
          <w:b/>
        </w:rPr>
        <w:t>Dr.</w:t>
      </w:r>
      <w:r w:rsidR="00EF55D5">
        <w:t xml:space="preserve"> </w:t>
      </w:r>
      <w:r w:rsidR="002554F3" w:rsidRPr="002554F3">
        <w:rPr>
          <w:b/>
        </w:rPr>
        <w:t>Hauser Zoltán</w:t>
      </w:r>
      <w:r w:rsidR="002554F3">
        <w:tab/>
      </w:r>
      <w:r w:rsidRPr="006136BA">
        <w:rPr>
          <w:b/>
        </w:rPr>
        <w:t>Vadászi János</w:t>
      </w:r>
    </w:p>
    <w:p w:rsidR="00E430AA" w:rsidRPr="006136BA" w:rsidRDefault="002554F3" w:rsidP="002554F3">
      <w:pPr>
        <w:tabs>
          <w:tab w:val="center" w:pos="1701"/>
          <w:tab w:val="center" w:pos="8505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rektor</w:t>
      </w:r>
      <w:proofErr w:type="gramEnd"/>
      <w:r>
        <w:rPr>
          <w:i/>
        </w:rPr>
        <w:tab/>
      </w:r>
      <w:r w:rsidR="00E430AA" w:rsidRPr="006136BA">
        <w:rPr>
          <w:i/>
        </w:rPr>
        <w:t>gazdasági főigazgató</w:t>
      </w:r>
    </w:p>
    <w:p w:rsidR="00E430AA" w:rsidRDefault="00E430AA" w:rsidP="00E430AA">
      <w:pPr>
        <w:rPr>
          <w:b/>
        </w:rPr>
      </w:pPr>
    </w:p>
    <w:p w:rsidR="00E934EE" w:rsidRDefault="00E934EE"/>
    <w:sectPr w:rsidR="00E934EE" w:rsidSect="00473A3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C1" w:rsidRDefault="003E79C1" w:rsidP="00D821C4">
      <w:r>
        <w:separator/>
      </w:r>
    </w:p>
  </w:endnote>
  <w:endnote w:type="continuationSeparator" w:id="0">
    <w:p w:rsidR="003E79C1" w:rsidRDefault="003E79C1" w:rsidP="00D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063"/>
      <w:docPartObj>
        <w:docPartGallery w:val="Page Numbers (Bottom of Page)"/>
        <w:docPartUnique/>
      </w:docPartObj>
    </w:sdtPr>
    <w:sdtContent>
      <w:p w:rsidR="00D821C4" w:rsidRDefault="003B7BDB">
        <w:pPr>
          <w:pStyle w:val="llb"/>
          <w:jc w:val="center"/>
        </w:pPr>
        <w:fldSimple w:instr=" PAGE   \* MERGEFORMAT ">
          <w:r w:rsidR="00205C29">
            <w:rPr>
              <w:noProof/>
            </w:rPr>
            <w:t>3</w:t>
          </w:r>
        </w:fldSimple>
      </w:p>
    </w:sdtContent>
  </w:sdt>
  <w:p w:rsidR="00D821C4" w:rsidRDefault="00D821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C1" w:rsidRDefault="003E79C1" w:rsidP="00D821C4">
      <w:r>
        <w:separator/>
      </w:r>
    </w:p>
  </w:footnote>
  <w:footnote w:type="continuationSeparator" w:id="0">
    <w:p w:rsidR="003E79C1" w:rsidRDefault="003E79C1" w:rsidP="00D8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E66"/>
    <w:multiLevelType w:val="hybridMultilevel"/>
    <w:tmpl w:val="56EE3E10"/>
    <w:lvl w:ilvl="0" w:tplc="3CC4B2A8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6543"/>
    <w:multiLevelType w:val="hybridMultilevel"/>
    <w:tmpl w:val="C122D0FA"/>
    <w:lvl w:ilvl="0" w:tplc="4274E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45EF"/>
    <w:multiLevelType w:val="hybridMultilevel"/>
    <w:tmpl w:val="DC36817C"/>
    <w:lvl w:ilvl="0" w:tplc="7EC0F914">
      <w:start w:val="1"/>
      <w:numFmt w:val="upperRoman"/>
      <w:pStyle w:val="Cmso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427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456EA"/>
    <w:multiLevelType w:val="hybridMultilevel"/>
    <w:tmpl w:val="4482B082"/>
    <w:lvl w:ilvl="0" w:tplc="F5DEC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3044"/>
    <w:multiLevelType w:val="hybridMultilevel"/>
    <w:tmpl w:val="546058B4"/>
    <w:lvl w:ilvl="0" w:tplc="3CC4B2A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F4568"/>
    <w:multiLevelType w:val="hybridMultilevel"/>
    <w:tmpl w:val="CA48C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B41AD"/>
    <w:multiLevelType w:val="hybridMultilevel"/>
    <w:tmpl w:val="B7B8B136"/>
    <w:lvl w:ilvl="0" w:tplc="1E54C09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60900"/>
    <w:multiLevelType w:val="hybridMultilevel"/>
    <w:tmpl w:val="B09CCA4C"/>
    <w:lvl w:ilvl="0" w:tplc="3CC4B2A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447C5"/>
    <w:multiLevelType w:val="hybridMultilevel"/>
    <w:tmpl w:val="45368480"/>
    <w:lvl w:ilvl="0" w:tplc="3CC4B2A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7032F"/>
    <w:multiLevelType w:val="hybridMultilevel"/>
    <w:tmpl w:val="51B05260"/>
    <w:lvl w:ilvl="0" w:tplc="1A720086">
      <w:numFmt w:val="none"/>
      <w:lvlText w:val=""/>
      <w:lvlJc w:val="left"/>
      <w:pPr>
        <w:tabs>
          <w:tab w:val="num" w:pos="720"/>
        </w:tabs>
        <w:ind w:left="720" w:hanging="360"/>
      </w:pPr>
    </w:lvl>
    <w:lvl w:ilvl="1" w:tplc="FEB0609C">
      <w:start w:val="1"/>
      <w:numFmt w:val="bullet"/>
      <w:lvlText w:val=""/>
      <w:lvlJc w:val="left"/>
      <w:pPr>
        <w:tabs>
          <w:tab w:val="num" w:pos="1516"/>
        </w:tabs>
        <w:ind w:left="1193" w:hanging="113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A3B58"/>
    <w:multiLevelType w:val="hybridMultilevel"/>
    <w:tmpl w:val="289C3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5E7B"/>
    <w:multiLevelType w:val="hybridMultilevel"/>
    <w:tmpl w:val="C8E466A0"/>
    <w:lvl w:ilvl="0" w:tplc="3CC4B2A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60E73"/>
    <w:multiLevelType w:val="hybridMultilevel"/>
    <w:tmpl w:val="47888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1978"/>
    <w:multiLevelType w:val="hybridMultilevel"/>
    <w:tmpl w:val="7F4E6A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2A06"/>
    <w:multiLevelType w:val="hybridMultilevel"/>
    <w:tmpl w:val="F8C66808"/>
    <w:lvl w:ilvl="0" w:tplc="A88A3F9E">
      <w:start w:val="200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93727"/>
    <w:multiLevelType w:val="hybridMultilevel"/>
    <w:tmpl w:val="16BA2422"/>
    <w:lvl w:ilvl="0" w:tplc="22F0B3EC">
      <w:start w:val="2009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445CE"/>
    <w:multiLevelType w:val="hybridMultilevel"/>
    <w:tmpl w:val="7C4E1E16"/>
    <w:lvl w:ilvl="0" w:tplc="F5DEC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D2286"/>
    <w:multiLevelType w:val="hybridMultilevel"/>
    <w:tmpl w:val="46861216"/>
    <w:lvl w:ilvl="0" w:tplc="F5DEC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22819"/>
    <w:multiLevelType w:val="hybridMultilevel"/>
    <w:tmpl w:val="E41CB4CE"/>
    <w:lvl w:ilvl="0" w:tplc="F5DEC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05F47"/>
    <w:multiLevelType w:val="hybridMultilevel"/>
    <w:tmpl w:val="D196E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19"/>
  </w:num>
  <w:num w:numId="17">
    <w:abstractNumId w:val="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AA"/>
    <w:rsid w:val="000E37E6"/>
    <w:rsid w:val="00115006"/>
    <w:rsid w:val="00120D2D"/>
    <w:rsid w:val="00205C29"/>
    <w:rsid w:val="002554F3"/>
    <w:rsid w:val="00267654"/>
    <w:rsid w:val="00274139"/>
    <w:rsid w:val="002E5C95"/>
    <w:rsid w:val="0039539C"/>
    <w:rsid w:val="003B7BDB"/>
    <w:rsid w:val="003E79C1"/>
    <w:rsid w:val="00444099"/>
    <w:rsid w:val="00473A3F"/>
    <w:rsid w:val="006569AC"/>
    <w:rsid w:val="00676C68"/>
    <w:rsid w:val="00820B31"/>
    <w:rsid w:val="008473D3"/>
    <w:rsid w:val="00B60A2A"/>
    <w:rsid w:val="00C2420F"/>
    <w:rsid w:val="00C61A78"/>
    <w:rsid w:val="00C97B9D"/>
    <w:rsid w:val="00CC1884"/>
    <w:rsid w:val="00D37ADD"/>
    <w:rsid w:val="00D46D3A"/>
    <w:rsid w:val="00D5077B"/>
    <w:rsid w:val="00D821C4"/>
    <w:rsid w:val="00D8463C"/>
    <w:rsid w:val="00D96CBD"/>
    <w:rsid w:val="00DC1C65"/>
    <w:rsid w:val="00E20562"/>
    <w:rsid w:val="00E430AA"/>
    <w:rsid w:val="00E934EE"/>
    <w:rsid w:val="00EF55D5"/>
    <w:rsid w:val="00F36A63"/>
    <w:rsid w:val="00F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0AA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30A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430AA"/>
    <w:pPr>
      <w:keepNext/>
      <w:jc w:val="center"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E430AA"/>
    <w:pPr>
      <w:keepNext/>
      <w:numPr>
        <w:numId w:val="1"/>
      </w:numPr>
      <w:tabs>
        <w:tab w:val="clear" w:pos="1080"/>
        <w:tab w:val="num" w:pos="360"/>
      </w:tabs>
      <w:ind w:hanging="108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E430AA"/>
    <w:pPr>
      <w:keepNext/>
      <w:ind w:left="708" w:hanging="348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E430AA"/>
    <w:pPr>
      <w:keepNext/>
      <w:spacing w:line="360" w:lineRule="auto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rsid w:val="00E430AA"/>
    <w:pPr>
      <w:keepNext/>
      <w:outlineLvl w:val="5"/>
    </w:pPr>
    <w:rPr>
      <w:b/>
      <w:bCs/>
      <w:i/>
      <w:iCs/>
      <w:sz w:val="20"/>
    </w:rPr>
  </w:style>
  <w:style w:type="paragraph" w:styleId="Cmsor7">
    <w:name w:val="heading 7"/>
    <w:basedOn w:val="Norml"/>
    <w:next w:val="Norml"/>
    <w:link w:val="Cmsor7Char"/>
    <w:qFormat/>
    <w:rsid w:val="00E430AA"/>
    <w:pPr>
      <w:keepNext/>
      <w:jc w:val="center"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link w:val="Cmsor8Char"/>
    <w:qFormat/>
    <w:rsid w:val="00E430AA"/>
    <w:pPr>
      <w:keepNext/>
      <w:ind w:left="360" w:hanging="360"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E430AA"/>
    <w:pPr>
      <w:keepNext/>
      <w:outlineLvl w:val="8"/>
    </w:pPr>
    <w:rPr>
      <w:b/>
      <w:bCs/>
      <w:i/>
      <w:iCs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30AA"/>
    <w:rPr>
      <w:rFonts w:eastAsia="Times New Roman" w:cs="Times New Roman"/>
      <w:b/>
      <w:bCs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430AA"/>
    <w:rPr>
      <w:rFonts w:eastAsia="Times New Roman" w:cs="Times New Roman"/>
      <w:i/>
      <w:i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430AA"/>
    <w:rPr>
      <w:rFonts w:eastAsia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430AA"/>
    <w:rPr>
      <w:rFonts w:eastAsia="Times New Roman" w:cs="Times New Roman"/>
      <w:i/>
      <w:iCs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430AA"/>
    <w:rPr>
      <w:rFonts w:eastAsia="Times New Roman" w:cs="Times New Roman"/>
      <w:b/>
      <w:bCs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430AA"/>
    <w:rPr>
      <w:rFonts w:eastAsia="Times New Roman" w:cs="Times New Roman"/>
      <w:b/>
      <w:bCs/>
      <w:i/>
      <w:iCs/>
      <w:sz w:val="20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E430AA"/>
    <w:rPr>
      <w:rFonts w:eastAsia="Times New Roman" w:cs="Times New Roman"/>
      <w:b/>
      <w:bCs/>
      <w:i/>
      <w:iCs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430AA"/>
    <w:rPr>
      <w:rFonts w:eastAsia="Times New Roman" w:cs="Times New Roman"/>
      <w:b/>
      <w:b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430AA"/>
    <w:rPr>
      <w:rFonts w:eastAsia="Times New Roman" w:cs="Times New Roman"/>
      <w:b/>
      <w:bCs/>
      <w:i/>
      <w:iCs/>
      <w:sz w:val="20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E430AA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430AA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E430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430AA"/>
    <w:rPr>
      <w:rFonts w:eastAsia="Times New Roman"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E430AA"/>
    <w:pPr>
      <w:jc w:val="center"/>
    </w:pPr>
    <w:rPr>
      <w:b/>
      <w:bCs/>
      <w:caps/>
    </w:rPr>
  </w:style>
  <w:style w:type="character" w:customStyle="1" w:styleId="CmChar">
    <w:name w:val="Cím Char"/>
    <w:basedOn w:val="Bekezdsalapbettpusa"/>
    <w:link w:val="Cm"/>
    <w:rsid w:val="00E430AA"/>
    <w:rPr>
      <w:rFonts w:eastAsia="Times New Roman" w:cs="Times New Roman"/>
      <w:b/>
      <w:bCs/>
      <w:caps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430AA"/>
    <w:pPr>
      <w:ind w:left="708"/>
    </w:pPr>
  </w:style>
  <w:style w:type="character" w:customStyle="1" w:styleId="Szvegtrzsbehzssal2Char">
    <w:name w:val="Szövegtörzs behúzással 2 Char"/>
    <w:basedOn w:val="Bekezdsalapbettpusa"/>
    <w:link w:val="Szvegtrzsbehzssal2"/>
    <w:rsid w:val="00E430AA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E430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30A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30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30AA"/>
    <w:rPr>
      <w:rFonts w:eastAsia="Times New Roman" w:cs="Times New Roman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E430AA"/>
    <w:pPr>
      <w:tabs>
        <w:tab w:val="num" w:pos="720"/>
      </w:tabs>
      <w:ind w:left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E430AA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E430AA"/>
  </w:style>
  <w:style w:type="paragraph" w:styleId="Szvegtrzs2">
    <w:name w:val="Body Text 2"/>
    <w:basedOn w:val="Norml"/>
    <w:link w:val="Szvegtrzs2Char"/>
    <w:rsid w:val="00E430AA"/>
    <w:pPr>
      <w:jc w:val="center"/>
    </w:pPr>
    <w:rPr>
      <w:b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E430AA"/>
    <w:rPr>
      <w:rFonts w:eastAsia="Times New Roman" w:cs="Times New Roman"/>
      <w:b/>
      <w:bCs/>
      <w:i/>
      <w:iCs/>
      <w:sz w:val="22"/>
      <w:szCs w:val="24"/>
      <w:lang w:eastAsia="hu-HU"/>
    </w:rPr>
  </w:style>
  <w:style w:type="table" w:styleId="Rcsostblzat">
    <w:name w:val="Table Grid"/>
    <w:basedOn w:val="Normltblzat"/>
    <w:uiPriority w:val="59"/>
    <w:rsid w:val="00E430AA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E430AA"/>
    <w:rPr>
      <w:color w:val="0000FF"/>
      <w:u w:val="single"/>
    </w:rPr>
  </w:style>
  <w:style w:type="paragraph" w:styleId="Listafolytatsa">
    <w:name w:val="List Continue"/>
    <w:basedOn w:val="Norml"/>
    <w:rsid w:val="00E430AA"/>
    <w:pPr>
      <w:spacing w:after="120"/>
      <w:ind w:left="283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E43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430AA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430AA"/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30AA"/>
    <w:rPr>
      <w:rFonts w:ascii="Consolas" w:eastAsia="Calibri" w:hAnsi="Consolas" w:cs="Times New Roman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E430AA"/>
    <w:pPr>
      <w:ind w:left="72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tf.h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6BEA-92EB-464D-8C6C-1D1371D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4048</Words>
  <Characters>27939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Eszterházy Károly Főiskola</Company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Eszterházy Károly Főiskola</dc:creator>
  <cp:keywords/>
  <dc:description/>
  <cp:lastModifiedBy>Eszterházy Károly Főiskola</cp:lastModifiedBy>
  <cp:revision>11</cp:revision>
  <cp:lastPrinted>2011-04-11T07:17:00Z</cp:lastPrinted>
  <dcterms:created xsi:type="dcterms:W3CDTF">2011-03-30T08:15:00Z</dcterms:created>
  <dcterms:modified xsi:type="dcterms:W3CDTF">2011-05-26T12:39:00Z</dcterms:modified>
</cp:coreProperties>
</file>