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191859503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E0343" w:rsidRDefault="005E0343">
          <w:pPr>
            <w:pStyle w:val="Nincstrkz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72" name="Csoport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73" name="Téglalap 7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Ötszög 7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á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E0343" w:rsidRDefault="005E0343">
                                      <w:pPr>
                                        <w:pStyle w:val="Nincstrkz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2018.05 hó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5" name="Csoport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6" name="Csoport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7" name="Szabadkézi sokszög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8" name="Szabadkézi sokszög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9" name="Szabadkézi sokszög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0" name="Szabadkézi sokszög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1" name="Szabadkézi sokszög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2" name="Szabadkézi sokszög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3" name="Szabadkézi sokszög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4" name="Szabadkézi sokszög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5" name="Szabadkézi sokszög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6" name="Szabadkézi sokszög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7" name="Szabadkézi sokszög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8" name="Szabadkézi sokszög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89" name="Csoport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90" name="Szabadkézi sokszög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1" name="Szabadkézi sokszög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2" name="Szabadkézi sokszög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3" name="Szabadkézi sokszög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4" name="Szabadkézi sokszög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5" name="Szabadkézi sokszög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Szabadkézi sokszög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Szabadkézi sokszög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Szabadkézi sokszög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9" name="Szabadkézi sokszög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0" name="Szabadkézi sokszög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Csoport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">
                    <v:rect id="Téglalap 7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Ötszög 7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á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E0343" w:rsidRDefault="005E0343">
                                <w:pPr>
                                  <w:pStyle w:val="Nincstrkz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2018.05 hó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Csoport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group id="Csoport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o:lock v:ext="edit" aspectratio="t"/>
                        <v:shape id="Szabadkézi sokszög 77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Szabadkézi sokszög 78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Szabadkézi sokszög 79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Szabadkézi sokszög 80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Szabadkézi sokszög 81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Szabadkézi sokszög 82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Szabadkézi sokszög 83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Szabadkézi sokszög 84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Szabadkézi sokszög 85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Szabadkézi sokszög 86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Szabadkézi sokszög 87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Szabadkézi sokszög 88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Csoport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o:lock v:ext="edit" aspectratio="t"/>
                        <v:shape id="Szabadkézi sokszög 90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Szabadkézi sokszög 91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Szabadkézi sokszög 92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Szabadkézi sokszög 93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Szabadkézi sokszög 94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Szabadkézi sokszög 95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Szabadkézi sokszög 96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Szabadkézi sokszög 97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Szabadkézi sokszög 98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Szabadkézi sokszög 99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Szabadkézi sokszög 100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101" name="Szövegdoboz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343" w:rsidRDefault="00517B92">
                                <w:pPr>
                                  <w:pStyle w:val="Nincstrkz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Szerző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A715A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Oktatás</w:t>
                                    </w:r>
                                    <w:r w:rsidR="005E0343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i Igazgatóság</w:t>
                                    </w:r>
                                  </w:sdtContent>
                                </w:sdt>
                              </w:p>
                              <w:p w:rsidR="005E0343" w:rsidRDefault="00517B92">
                                <w:pPr>
                                  <w:pStyle w:val="Nincstrkz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ég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E0343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Elemző Iroda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01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DVs5lV9AgAAYQ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:rsidR="005E0343" w:rsidRDefault="00282185">
                          <w:pPr>
                            <w:pStyle w:val="Nincstrkz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Szerző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4A715A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Oktatás</w:t>
                              </w:r>
                              <w:r w:rsidR="005E0343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i Igazgatóság</w:t>
                              </w:r>
                            </w:sdtContent>
                          </w:sdt>
                        </w:p>
                        <w:p w:rsidR="005E0343" w:rsidRDefault="00282185">
                          <w:pPr>
                            <w:pStyle w:val="Nincstrkz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ég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E0343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Elemző Iroda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02" name="Szövegdoboz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0343" w:rsidRDefault="00517B92" w:rsidP="005E0343">
                                <w:pPr>
                                  <w:pStyle w:val="Nincstrkz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2E74B5" w:themeColor="accent1" w:themeShade="BF"/>
                                      <w:sz w:val="32"/>
                                      <w:szCs w:val="32"/>
                                      <w:lang w:eastAsia="en-US"/>
                                    </w:rPr>
                                    <w:alias w:val="Cím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B3792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2E74B5" w:themeColor="accent1" w:themeShade="BF"/>
                                        <w:sz w:val="32"/>
                                        <w:szCs w:val="32"/>
                                        <w:lang w:eastAsia="en-US"/>
                                      </w:rPr>
                                      <w:t>A teremkihasználtság vizsgálata az Eszterházy Károly Egyetemen</w:t>
                                    </w:r>
                                  </w:sdtContent>
                                </w:sdt>
                              </w:p>
                              <w:p w:rsidR="005E0343" w:rsidRDefault="00517B92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Alcím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0343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zövegdoboz 102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" filled="f" stroked="f" strokeweight=".5pt">
                    <v:textbox style="mso-fit-shape-to-text:t" inset="0,0,0,0">
                      <w:txbxContent>
                        <w:p w:rsidR="005E0343" w:rsidRDefault="00282185" w:rsidP="005E0343">
                          <w:pPr>
                            <w:pStyle w:val="Nincstrkz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:lang w:eastAsia="en-US"/>
                              </w:rPr>
                              <w:alias w:val="Cím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3792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  <w:lang w:eastAsia="en-US"/>
                                </w:rPr>
                                <w:t>A teremkihasználtság vizsgálata az Eszterházy Károly Egyetemen</w:t>
                              </w:r>
                            </w:sdtContent>
                          </w:sdt>
                        </w:p>
                        <w:p w:rsidR="005E0343" w:rsidRDefault="0028218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Alcím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E0343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E0343" w:rsidRDefault="005E0343">
          <w:pP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32"/>
            </w:rPr>
          </w:pPr>
          <w:r>
            <w:rPr>
              <w:b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9045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062E" w:rsidRDefault="0054062E">
          <w:pPr>
            <w:pStyle w:val="Tartalomjegyzkcmsora"/>
          </w:pPr>
          <w:r>
            <w:t>Tartalom</w:t>
          </w:r>
        </w:p>
        <w:p w:rsidR="0054062E" w:rsidRDefault="0054062E" w:rsidP="0054062E">
          <w:pPr>
            <w:rPr>
              <w:lang w:eastAsia="hu-HU"/>
            </w:rPr>
          </w:pPr>
        </w:p>
        <w:p w:rsidR="0054062E" w:rsidRPr="0054062E" w:rsidRDefault="0054062E" w:rsidP="0054062E">
          <w:pPr>
            <w:rPr>
              <w:lang w:eastAsia="hu-HU"/>
            </w:rPr>
          </w:pPr>
        </w:p>
        <w:p w:rsidR="001572BF" w:rsidRDefault="0054062E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572BF" w:rsidRDefault="00517B9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28" w:history="1">
            <w:r w:rsidR="001572BF">
              <w:rPr>
                <w:rStyle w:val="Hiperhivatkozs"/>
                <w:b/>
                <w:noProof/>
              </w:rPr>
              <w:t>Oktatótermek kihasználtságának vizsgálata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_Toc515454128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4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29" w:history="1">
            <w:r w:rsidR="001572BF" w:rsidRPr="00E22071">
              <w:rPr>
                <w:rStyle w:val="Hiperhivatkozs"/>
                <w:noProof/>
              </w:rPr>
              <w:t xml:space="preserve">Egri </w:t>
            </w:r>
            <w:r w:rsidR="00AB3792">
              <w:rPr>
                <w:rStyle w:val="Hiperhivatkozs"/>
                <w:noProof/>
              </w:rPr>
              <w:t>Campus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_Toc515454129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4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0" w:history="1">
            <w:r w:rsidR="001572BF" w:rsidRPr="00E22071">
              <w:rPr>
                <w:rStyle w:val="Hiperhivatkozs"/>
                <w:noProof/>
              </w:rPr>
              <w:t xml:space="preserve">Sárospataki </w:t>
            </w:r>
            <w:r w:rsidR="00AB3792">
              <w:rPr>
                <w:rStyle w:val="Hiperhivatkozs"/>
                <w:noProof/>
              </w:rPr>
              <w:t>Campus</w:t>
            </w:r>
            <w:r w:rsidR="001572BF" w:rsidRPr="00E22071">
              <w:rPr>
                <w:rStyle w:val="Hiperhivatkozs"/>
                <w:noProof/>
              </w:rPr>
              <w:t>, Comenius Kar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_Toc515454130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18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1" w:history="1">
            <w:r w:rsidR="001572BF" w:rsidRPr="00E22071">
              <w:rPr>
                <w:rStyle w:val="Hiperhivatkozs"/>
                <w:noProof/>
              </w:rPr>
              <w:t xml:space="preserve">Gyöngyösi </w:t>
            </w:r>
            <w:r w:rsidR="00AB3792">
              <w:rPr>
                <w:rStyle w:val="Hiperhivatkozs"/>
                <w:noProof/>
              </w:rPr>
              <w:t>Campus</w:t>
            </w:r>
            <w:r w:rsidR="001572BF" w:rsidRPr="00E22071">
              <w:rPr>
                <w:rStyle w:val="Hiperhivatkozs"/>
                <w:noProof/>
              </w:rPr>
              <w:t>, Agrár-és Vidékfejlesztési Kar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_Toc515454131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19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2" w:history="1">
            <w:r w:rsidR="001572BF" w:rsidRPr="00E22071">
              <w:rPr>
                <w:rStyle w:val="Hiperhivatkozs"/>
                <w:noProof/>
              </w:rPr>
              <w:t xml:space="preserve">Jászberényi </w:t>
            </w:r>
            <w:r w:rsidR="00AB3792">
              <w:rPr>
                <w:rStyle w:val="Hiperhivatkozs"/>
                <w:noProof/>
              </w:rPr>
              <w:t>Campus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_Toc515454132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21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Style w:val="Hiperhivatkozs"/>
              <w:noProof/>
            </w:rPr>
          </w:pPr>
          <w:hyperlink w:anchor="_Toc515454133" w:history="1">
            <w:r w:rsidR="001572BF" w:rsidRPr="00E22071">
              <w:rPr>
                <w:rStyle w:val="Hiperhivatkozs"/>
                <w:noProof/>
              </w:rPr>
              <w:t>Egyetemi összehasonlítás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_Toc515454133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23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Pr="001572BF" w:rsidRDefault="001572BF" w:rsidP="001572BF"/>
        <w:p w:rsidR="001572BF" w:rsidRDefault="00517B92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4" w:history="1">
            <w:r w:rsidR="001572BF" w:rsidRPr="00E22071">
              <w:rPr>
                <w:rStyle w:val="Hiperhivatkozs"/>
                <w:b/>
                <w:noProof/>
              </w:rPr>
              <w:t>Egyéb helyiségek kihasználtságának vizsgálata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_Toc515454134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26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5" w:history="1">
            <w:r w:rsidR="001572BF" w:rsidRPr="00E22071">
              <w:rPr>
                <w:rStyle w:val="Hiperhivatkozs"/>
                <w:noProof/>
              </w:rPr>
              <w:t xml:space="preserve">Egri </w:t>
            </w:r>
            <w:r w:rsidR="00AB3792">
              <w:rPr>
                <w:rStyle w:val="Hiperhivatkozs"/>
                <w:noProof/>
              </w:rPr>
              <w:t>Campus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_Toc515454135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26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6" w:history="1">
            <w:r w:rsidR="001572BF" w:rsidRPr="00E22071">
              <w:rPr>
                <w:rStyle w:val="Hiperhivatkozs"/>
                <w:noProof/>
              </w:rPr>
              <w:t xml:space="preserve">Sárospataki </w:t>
            </w:r>
            <w:r w:rsidR="00AB3792">
              <w:rPr>
                <w:rStyle w:val="Hiperhivatkozs"/>
                <w:noProof/>
              </w:rPr>
              <w:t>Campus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_Toc515454136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38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7" w:history="1">
            <w:r w:rsidR="001572BF" w:rsidRPr="00E22071">
              <w:rPr>
                <w:rStyle w:val="Hiperhivatkozs"/>
                <w:noProof/>
              </w:rPr>
              <w:t xml:space="preserve">Gyöngyösi </w:t>
            </w:r>
            <w:r w:rsidR="00AB3792">
              <w:rPr>
                <w:rStyle w:val="Hiperhivatkozs"/>
                <w:noProof/>
              </w:rPr>
              <w:t>Campus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_Toc515454137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39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8" w:history="1">
            <w:r w:rsidR="001572BF" w:rsidRPr="00E22071">
              <w:rPr>
                <w:rStyle w:val="Hiperhivatkozs"/>
                <w:noProof/>
              </w:rPr>
              <w:t xml:space="preserve">Jászberényi </w:t>
            </w:r>
            <w:r w:rsidR="00AB3792">
              <w:rPr>
                <w:rStyle w:val="Hiperhivatkozs"/>
                <w:noProof/>
              </w:rPr>
              <w:t>Campus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_Toc515454138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40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1572BF" w:rsidRDefault="00517B92">
          <w:pPr>
            <w:pStyle w:val="TJ3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15454139" w:history="1">
            <w:r w:rsidR="001572BF" w:rsidRPr="00E22071">
              <w:rPr>
                <w:rStyle w:val="Hiperhivatkozs"/>
                <w:noProof/>
              </w:rPr>
              <w:t>Egyetemi összehasonlítás</w:t>
            </w:r>
            <w:r w:rsidR="001572BF">
              <w:rPr>
                <w:noProof/>
                <w:webHidden/>
              </w:rPr>
              <w:tab/>
            </w:r>
            <w:r w:rsidR="001572BF">
              <w:rPr>
                <w:noProof/>
                <w:webHidden/>
              </w:rPr>
              <w:fldChar w:fldCharType="begin"/>
            </w:r>
            <w:r w:rsidR="001572BF">
              <w:rPr>
                <w:noProof/>
                <w:webHidden/>
              </w:rPr>
              <w:instrText xml:space="preserve"> PAGEREF _Toc515454139 \h </w:instrText>
            </w:r>
            <w:r w:rsidR="001572BF">
              <w:rPr>
                <w:noProof/>
                <w:webHidden/>
              </w:rPr>
            </w:r>
            <w:r w:rsidR="001572BF">
              <w:rPr>
                <w:noProof/>
                <w:webHidden/>
              </w:rPr>
              <w:fldChar w:fldCharType="separate"/>
            </w:r>
            <w:r w:rsidR="001572BF">
              <w:rPr>
                <w:noProof/>
                <w:webHidden/>
              </w:rPr>
              <w:t>42</w:t>
            </w:r>
            <w:r w:rsidR="001572BF">
              <w:rPr>
                <w:noProof/>
                <w:webHidden/>
              </w:rPr>
              <w:fldChar w:fldCharType="end"/>
            </w:r>
          </w:hyperlink>
        </w:p>
        <w:p w:rsidR="0054062E" w:rsidRDefault="0054062E">
          <w:r>
            <w:rPr>
              <w:b/>
              <w:bCs/>
            </w:rPr>
            <w:fldChar w:fldCharType="end"/>
          </w:r>
        </w:p>
      </w:sdtContent>
    </w:sdt>
    <w:p w:rsidR="0054062E" w:rsidRDefault="0054062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0" w:name="_Toc515453943"/>
      <w:r>
        <w:rPr>
          <w:b/>
        </w:rPr>
        <w:br w:type="page"/>
      </w:r>
    </w:p>
    <w:p w:rsidR="00F04CCF" w:rsidRPr="00686B02" w:rsidRDefault="009E0CAA" w:rsidP="00686B02">
      <w:pPr>
        <w:pStyle w:val="Cmsor1"/>
        <w:spacing w:before="0"/>
        <w:jc w:val="center"/>
        <w:rPr>
          <w:b/>
        </w:rPr>
      </w:pPr>
      <w:bookmarkStart w:id="1" w:name="_Toc515454126"/>
      <w:r w:rsidRPr="00686B02">
        <w:rPr>
          <w:b/>
        </w:rPr>
        <w:lastRenderedPageBreak/>
        <w:t>A teremkihasználtság vizsgálata az Eszterházy Károly Egyetemen</w:t>
      </w:r>
      <w:bookmarkEnd w:id="0"/>
      <w:bookmarkEnd w:id="1"/>
    </w:p>
    <w:p w:rsidR="009E0CAA" w:rsidRPr="00686B02" w:rsidRDefault="009E0CAA" w:rsidP="00686B02">
      <w:pPr>
        <w:pStyle w:val="Cmsor1"/>
        <w:spacing w:before="0"/>
        <w:jc w:val="center"/>
        <w:rPr>
          <w:b/>
        </w:rPr>
      </w:pPr>
      <w:bookmarkStart w:id="2" w:name="_Toc515453944"/>
      <w:bookmarkStart w:id="3" w:name="_Toc515454127"/>
      <w:r w:rsidRPr="00686B02">
        <w:rPr>
          <w:b/>
        </w:rPr>
        <w:t>201</w:t>
      </w:r>
      <w:r w:rsidR="00525D88" w:rsidRPr="00686B02">
        <w:rPr>
          <w:b/>
        </w:rPr>
        <w:t>5-16</w:t>
      </w:r>
      <w:r w:rsidRPr="00686B02">
        <w:rPr>
          <w:b/>
        </w:rPr>
        <w:t>/</w:t>
      </w:r>
      <w:r w:rsidR="00525D88" w:rsidRPr="00686B02">
        <w:rPr>
          <w:b/>
        </w:rPr>
        <w:t>1-2017-18</w:t>
      </w:r>
      <w:r w:rsidRPr="00686B02">
        <w:rPr>
          <w:b/>
        </w:rPr>
        <w:t>/2 tanítási szemeszterek között</w:t>
      </w:r>
      <w:bookmarkEnd w:id="2"/>
      <w:bookmarkEnd w:id="3"/>
    </w:p>
    <w:p w:rsidR="009E0CAA" w:rsidRDefault="009E0CAA" w:rsidP="009E0CAA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310B47" w:rsidRDefault="009E0CAA" w:rsidP="009E0CAA">
      <w:pPr>
        <w:jc w:val="both"/>
      </w:pPr>
      <w:r>
        <w:t xml:space="preserve">A fenti időszakra vonatkozóan vizsgáltuk meg az egyetem </w:t>
      </w:r>
      <w:r w:rsidR="00AB3792">
        <w:t>Campus</w:t>
      </w:r>
      <w:r>
        <w:t xml:space="preserve">ain található oktatási terek kihasználtságát. </w:t>
      </w:r>
      <w:r w:rsidR="00310B47">
        <w:t>Mint felsőoktatási intézmény elsődleges feladat az oktatás, így kíváncsiak vagyunk arra, hogy meglévő kapacitásaink mennyire kihasználtak, melyek kihatással vannak egyrészt az oktatásszervezési és -finanszírozási feladatokra</w:t>
      </w:r>
      <w:r w:rsidR="00D83856">
        <w:t>,</w:t>
      </w:r>
      <w:r w:rsidR="00310B47">
        <w:t xml:space="preserve"> másrészt</w:t>
      </w:r>
      <w:r w:rsidR="00D83856">
        <w:t xml:space="preserve"> a</w:t>
      </w:r>
      <w:r w:rsidR="00310B47">
        <w:t xml:space="preserve"> fenntartási (rezsi) költségek tervezésére, megvalósítására. Jelen tanulmányunk az oktatásszervezési szempontokat </w:t>
      </w:r>
      <w:r w:rsidR="008425E4">
        <w:t>veszi figyelembe</w:t>
      </w:r>
      <w:r w:rsidR="00310B47">
        <w:t>.</w:t>
      </w:r>
    </w:p>
    <w:p w:rsidR="009E0CAA" w:rsidRDefault="009E0CAA" w:rsidP="009E0CAA">
      <w:pPr>
        <w:jc w:val="both"/>
      </w:pPr>
      <w:r>
        <w:t>A kimutatás alapja a 13 hetes oktatási félév, hétfőtől szombatig tartó oktatási napok és az adott tere</w:t>
      </w:r>
      <w:r w:rsidR="00931F3D">
        <w:t>mbe foglalt oktatási órák száma, ahol egy tanítási óra 45 perc. Egy oktatási napon 1</w:t>
      </w:r>
      <w:r w:rsidR="00D83856">
        <w:t>2</w:t>
      </w:r>
      <w:r w:rsidR="00931F3D">
        <w:t xml:space="preserve"> tanóra adja a nap 100%-</w:t>
      </w:r>
      <w:proofErr w:type="spellStart"/>
      <w:r w:rsidR="00931F3D">
        <w:t>os</w:t>
      </w:r>
      <w:proofErr w:type="spellEnd"/>
      <w:r w:rsidR="00931F3D">
        <w:t xml:space="preserve"> oktatási lefedettségét.</w:t>
      </w:r>
    </w:p>
    <w:p w:rsidR="00533CE9" w:rsidRDefault="00533CE9" w:rsidP="009E0CAA">
      <w:pPr>
        <w:jc w:val="both"/>
      </w:pPr>
      <w:r>
        <w:t>Az adathalmaz tartalmazta termenként az óraszámokat, napi bontásban és heti összesítéssel és az adott terem kihasználtságát %-</w:t>
      </w:r>
      <w:proofErr w:type="spellStart"/>
      <w:r>
        <w:t>ban</w:t>
      </w:r>
      <w:proofErr w:type="spellEnd"/>
      <w:r>
        <w:t>, napi bontásban.</w:t>
      </w:r>
    </w:p>
    <w:p w:rsidR="00931F3D" w:rsidRDefault="00931F3D" w:rsidP="009E0CAA">
      <w:pPr>
        <w:jc w:val="both"/>
      </w:pPr>
      <w:r>
        <w:t xml:space="preserve">Az intézmény összességére és </w:t>
      </w:r>
      <w:r w:rsidR="00AB3792">
        <w:t>Campus</w:t>
      </w:r>
      <w:r>
        <w:t>aira vonatkozóan is szeretnénk képet kapni, ezért olyan elemzéseket végeztünk, mely</w:t>
      </w:r>
      <w:r w:rsidR="00310B47">
        <w:t xml:space="preserve">ek bemutatják a </w:t>
      </w:r>
      <w:proofErr w:type="spellStart"/>
      <w:r w:rsidR="00310B47">
        <w:t>kihasználtságot</w:t>
      </w:r>
      <w:proofErr w:type="spellEnd"/>
      <w:r w:rsidR="00310B47">
        <w:t xml:space="preserve"> saját oktatási helyiség, </w:t>
      </w:r>
      <w:r w:rsidR="00310B47" w:rsidRPr="00DE4D2D">
        <w:t xml:space="preserve">saját nem oktatási helyiség és külsős helyszín vonatkozásában is </w:t>
      </w:r>
      <w:r w:rsidR="00310B47">
        <w:t>a tanításhoz szükséges helyszíneken lévő óraszámok</w:t>
      </w:r>
      <w:r w:rsidR="008425E4">
        <w:t xml:space="preserve"> alapján</w:t>
      </w:r>
      <w:r>
        <w:t>.</w:t>
      </w:r>
      <w:r w:rsidR="008425E4">
        <w:t xml:space="preserve"> Az itt kapott adatok kétfelől vizsgálhatók: a külső helyszín szükségessége (az ezt alátámasztó kihasználtsági arány); az oktatási cél kötöttsége (ha egyetlen kötelező gyakorlati óra is megtartandó, akkor az adott helyszínre szükség van).</w:t>
      </w:r>
      <w:r w:rsidR="004071F1">
        <w:t xml:space="preserve"> Ezen vizsgálatok és ajánlások megtétele azonban nem ennek a tanulmánynak a célja és feladata.</w:t>
      </w:r>
    </w:p>
    <w:p w:rsidR="00931F3D" w:rsidRDefault="00931F3D" w:rsidP="009E0CAA">
      <w:pPr>
        <w:jc w:val="both"/>
      </w:pPr>
      <w:r>
        <w:t>Intézményi szinten 319 helyszínnel rendelkezünk, melyek tartalmazzák a külsős oktatási helyszíneket (uszodák, gyakorló helyszínek – óvodák, bölcsődék, zeneiskolák, stb.)</w:t>
      </w:r>
      <w:r w:rsidR="00525D88">
        <w:t xml:space="preserve"> és a nem oktatási célú termeket is</w:t>
      </w:r>
      <w:r>
        <w:t>, ebből saját oktatóterem 179, mely a helyiségek 56%-a. Ebből Egerben 105, Sárospatakon 19, Gyöngyösön 36 és Jászberényben 19 terem található.</w:t>
      </w:r>
      <w:r w:rsidR="008425E4">
        <w:t xml:space="preserve"> Itt fontos megemlíteni, hogy a gyöngyösi és a jászberényi adatok 2016-17 I. félévétől állnak rendelkezésre, mely az összesített adatok szempontjából torzításokat okozhat.</w:t>
      </w:r>
    </w:p>
    <w:p w:rsidR="0034576B" w:rsidRDefault="0034576B" w:rsidP="009E0CAA">
      <w:pPr>
        <w:jc w:val="both"/>
      </w:pPr>
      <w:r>
        <w:t>A teljes, részletes összehasonlítást nehezíti egyes tantermek megszüntetése, áthelyezése, újak létrejötte, mely akár félévről félévre is változhat és tegyük hozzá, hogy a tanárkollégák kényelme is (ha pl. egy tanszéki vagy adminisztrációs irodában tartanak órát a tanterem helyett).</w:t>
      </w:r>
      <w:r w:rsidR="00747654">
        <w:t xml:space="preserve"> De ez egyben az igényekhez és szükségletekhez történő rugalmas alkalmazkodást is jelenti.</w:t>
      </w:r>
    </w:p>
    <w:p w:rsidR="00533CE9" w:rsidRPr="00533CE9" w:rsidRDefault="00533CE9" w:rsidP="009E0CAA">
      <w:pPr>
        <w:jc w:val="both"/>
        <w:rPr>
          <w:b/>
        </w:rPr>
      </w:pPr>
      <w:r w:rsidRPr="00533CE9">
        <w:rPr>
          <w:b/>
        </w:rPr>
        <w:t xml:space="preserve">Melyek azok a mérőszámok, </w:t>
      </w:r>
      <w:r>
        <w:rPr>
          <w:b/>
        </w:rPr>
        <w:t xml:space="preserve">mutatók, </w:t>
      </w:r>
      <w:r w:rsidRPr="00533CE9">
        <w:rPr>
          <w:b/>
        </w:rPr>
        <w:t xml:space="preserve">melyek segítséget nyújthatnak számunkra az adatok vizsgálatában?  </w:t>
      </w:r>
    </w:p>
    <w:p w:rsidR="00AC136F" w:rsidRDefault="00AC136F" w:rsidP="009E0CAA">
      <w:pPr>
        <w:jc w:val="both"/>
      </w:pPr>
      <w:r>
        <w:t>Az átlagos és a maximális kihasználtság az a mutató, mely segítségünkre lehet abban, hogy képet nyerjünk a termeink órai lefedettségé</w:t>
      </w:r>
      <w:r w:rsidR="00E41113">
        <w:t>ről</w:t>
      </w:r>
      <w:r>
        <w:t>, illetve megmutatja azt a mozgásteret és irányt, mely felé érdemes volna elmozdulni óraszervezések tekintetében.</w:t>
      </w:r>
    </w:p>
    <w:p w:rsidR="00533CE9" w:rsidRDefault="00533CE9" w:rsidP="009E0CAA">
      <w:pPr>
        <w:jc w:val="both"/>
      </w:pPr>
      <w:r>
        <w:t>A</w:t>
      </w:r>
      <w:r w:rsidR="006841BC">
        <w:t xml:space="preserve"> maximális</w:t>
      </w:r>
      <w:r>
        <w:t xml:space="preserve"> kihasználtság</w:t>
      </w:r>
      <w:r w:rsidR="006841BC">
        <w:t xml:space="preserve"> mértéke </w:t>
      </w:r>
      <w:r w:rsidR="008773E8">
        <w:t xml:space="preserve">a legnagyobb </w:t>
      </w:r>
      <w:r>
        <w:t xml:space="preserve">heti </w:t>
      </w:r>
      <w:r w:rsidR="008773E8">
        <w:t>óraszám</w:t>
      </w:r>
      <w:r w:rsidR="006841BC">
        <w:t xml:space="preserve"> alapján számítható</w:t>
      </w:r>
      <w:r w:rsidR="008773E8">
        <w:t xml:space="preserve">, </w:t>
      </w:r>
      <w:r>
        <w:t xml:space="preserve">ezért minden félévre kigyűjtöttük az adott időszak </w:t>
      </w:r>
      <w:r w:rsidRPr="006841BC">
        <w:rPr>
          <w:b/>
        </w:rPr>
        <w:t>legmagasabb heti óraszámát</w:t>
      </w:r>
      <w:r>
        <w:t>.</w:t>
      </w:r>
    </w:p>
    <w:p w:rsidR="006841BC" w:rsidRDefault="006841BC" w:rsidP="009E0CAA">
      <w:pPr>
        <w:jc w:val="both"/>
      </w:pPr>
      <w:r>
        <w:t xml:space="preserve">Az </w:t>
      </w:r>
      <w:r w:rsidRPr="006841BC">
        <w:rPr>
          <w:b/>
        </w:rPr>
        <w:t>átlagos heti óraszámok</w:t>
      </w:r>
      <w:r>
        <w:t xml:space="preserve"> megadása az átlag kihasználtság mértékéhez szükséges, így ezt is kigyűjtöttük minden félévre.</w:t>
      </w:r>
    </w:p>
    <w:p w:rsidR="006841BC" w:rsidRDefault="006841BC" w:rsidP="006841BC">
      <w:pPr>
        <w:jc w:val="both"/>
      </w:pPr>
      <w:r>
        <w:lastRenderedPageBreak/>
        <w:t xml:space="preserve">A </w:t>
      </w:r>
      <w:r w:rsidRPr="006841BC">
        <w:rPr>
          <w:b/>
        </w:rPr>
        <w:t>heti maximális kihasználtság</w:t>
      </w:r>
      <w:r>
        <w:t xml:space="preserve"> százalékos aránya mutatja meg a legjobban kihasznált termeket így a napi </w:t>
      </w:r>
      <w:r w:rsidR="001358A3">
        <w:t xml:space="preserve">maximális </w:t>
      </w:r>
      <w:r>
        <w:t>kihasználtság</w:t>
      </w:r>
      <w:r w:rsidR="001358A3">
        <w:t>ok</w:t>
      </w:r>
      <w:r>
        <w:t xml:space="preserve"> átlagolásá</w:t>
      </w:r>
      <w:r w:rsidR="001358A3">
        <w:t>val megkapjuk</w:t>
      </w:r>
      <w:r>
        <w:t xml:space="preserve"> az</w:t>
      </w:r>
      <w:r w:rsidR="001358A3">
        <w:t>t</w:t>
      </w:r>
      <w:r>
        <w:t xml:space="preserve"> a mutató</w:t>
      </w:r>
      <w:r w:rsidR="001358A3">
        <w:t>t, mely a</w:t>
      </w:r>
      <w:r>
        <w:t xml:space="preserve"> legmagasabb </w:t>
      </w:r>
      <w:r w:rsidR="001358A3">
        <w:t xml:space="preserve">heti </w:t>
      </w:r>
      <w:r>
        <w:t>kihasználtságát mutatja meg helyiségeinknek.</w:t>
      </w:r>
    </w:p>
    <w:p w:rsidR="00533CE9" w:rsidRDefault="00533CE9" w:rsidP="009E0CAA">
      <w:pPr>
        <w:jc w:val="both"/>
      </w:pPr>
      <w:r>
        <w:t xml:space="preserve">A termek </w:t>
      </w:r>
      <w:r w:rsidR="006841BC" w:rsidRPr="006841BC">
        <w:rPr>
          <w:b/>
        </w:rPr>
        <w:t xml:space="preserve">heti </w:t>
      </w:r>
      <w:r w:rsidRPr="006841BC">
        <w:rPr>
          <w:b/>
        </w:rPr>
        <w:t>átlagos kihasználtsági</w:t>
      </w:r>
      <w:r>
        <w:t xml:space="preserve"> aránya napi bontásban még nem mutatja meg az adott terem heti kihasználtságát, így a napi </w:t>
      </w:r>
      <w:proofErr w:type="spellStart"/>
      <w:r>
        <w:t>kihasználtságot</w:t>
      </w:r>
      <w:proofErr w:type="spellEnd"/>
      <w:r>
        <w:t xml:space="preserve"> is átlagolni szükséges heti szintre, hogy ne csak az óraszámokban, de a teremkihasználtságban is </w:t>
      </w:r>
      <w:r w:rsidR="001358A3">
        <w:t xml:space="preserve">megkapjuk a </w:t>
      </w:r>
      <w:r>
        <w:t>heti átlagot.</w:t>
      </w:r>
    </w:p>
    <w:p w:rsidR="002749BA" w:rsidRDefault="002749BA" w:rsidP="009E0CAA">
      <w:pPr>
        <w:jc w:val="both"/>
      </w:pPr>
      <w:r>
        <w:t>Ezen értékek skálázás</w:t>
      </w:r>
      <w:r w:rsidR="00E41113">
        <w:t>át is elvégeztük, mely alapján 5 kategóriát alakítottunk ki a kihasználtságra vonatkozóan:</w:t>
      </w:r>
      <w:r>
        <w:t xml:space="preserve"> </w:t>
      </w:r>
    </w:p>
    <w:p w:rsidR="002749BA" w:rsidRDefault="002749BA" w:rsidP="002749BA">
      <w:pPr>
        <w:pStyle w:val="Listaszerbekezds"/>
        <w:numPr>
          <w:ilvl w:val="0"/>
          <w:numId w:val="1"/>
        </w:numPr>
        <w:jc w:val="both"/>
      </w:pPr>
      <w:r>
        <w:t>0-20%-</w:t>
      </w:r>
      <w:proofErr w:type="spellStart"/>
      <w:r>
        <w:t>os</w:t>
      </w:r>
      <w:proofErr w:type="spellEnd"/>
      <w:r>
        <w:t xml:space="preserve"> kihasználtság között teljesen kihasználatlan a terem </w:t>
      </w:r>
    </w:p>
    <w:p w:rsidR="002749BA" w:rsidRDefault="002749BA" w:rsidP="002749BA">
      <w:pPr>
        <w:pStyle w:val="Listaszerbekezds"/>
        <w:numPr>
          <w:ilvl w:val="0"/>
          <w:numId w:val="1"/>
        </w:numPr>
        <w:jc w:val="both"/>
      </w:pPr>
      <w:r>
        <w:t xml:space="preserve">20-40 </w:t>
      </w:r>
      <w:r w:rsidR="00714984">
        <w:t>–</w:t>
      </w:r>
      <w:r>
        <w:t xml:space="preserve"> kihasználatlan</w:t>
      </w:r>
    </w:p>
    <w:p w:rsidR="00714984" w:rsidRDefault="00714984" w:rsidP="002749BA">
      <w:pPr>
        <w:pStyle w:val="Listaszerbekezds"/>
        <w:numPr>
          <w:ilvl w:val="0"/>
          <w:numId w:val="1"/>
        </w:numPr>
        <w:jc w:val="both"/>
      </w:pPr>
      <w:r>
        <w:t>40-60 – közepesen kihasznált</w:t>
      </w:r>
    </w:p>
    <w:p w:rsidR="002749BA" w:rsidRDefault="002749BA" w:rsidP="002749BA">
      <w:pPr>
        <w:pStyle w:val="Listaszerbekezds"/>
        <w:numPr>
          <w:ilvl w:val="0"/>
          <w:numId w:val="1"/>
        </w:numPr>
        <w:jc w:val="both"/>
      </w:pPr>
      <w:r>
        <w:t>60-80 - kihasznált</w:t>
      </w:r>
    </w:p>
    <w:p w:rsidR="002749BA" w:rsidRDefault="002749BA" w:rsidP="002749BA">
      <w:pPr>
        <w:pStyle w:val="Listaszerbekezds"/>
        <w:numPr>
          <w:ilvl w:val="0"/>
          <w:numId w:val="1"/>
        </w:numPr>
        <w:jc w:val="both"/>
      </w:pPr>
      <w:r>
        <w:t>80-100 – teljesen kihasznált</w:t>
      </w:r>
    </w:p>
    <w:p w:rsidR="008773E8" w:rsidRDefault="00C07F3F" w:rsidP="009E0CAA">
      <w:pPr>
        <w:jc w:val="both"/>
      </w:pPr>
      <w:r>
        <w:t>A legmagasabb heti óraszám</w:t>
      </w:r>
      <w:r w:rsidR="008773E8">
        <w:t xml:space="preserve"> az adott időszakban</w:t>
      </w:r>
      <w:r w:rsidR="00C95FB9">
        <w:t>,</w:t>
      </w:r>
      <w:r w:rsidR="008773E8">
        <w:t xml:space="preserve"> átlagosan 64,94 óra</w:t>
      </w:r>
      <w:r w:rsidR="00C95FB9">
        <w:t xml:space="preserve"> volt</w:t>
      </w:r>
      <w:r w:rsidR="008773E8">
        <w:t xml:space="preserve">. A legmagasabb heti óraszám 68,31 óra 2015-16/1 félévében (B épület 119 </w:t>
      </w:r>
      <w:proofErr w:type="spellStart"/>
      <w:r w:rsidR="008773E8">
        <w:t>ea</w:t>
      </w:r>
      <w:proofErr w:type="spellEnd"/>
      <w:r w:rsidR="008773E8">
        <w:t xml:space="preserve">), míg </w:t>
      </w:r>
      <w:proofErr w:type="gramStart"/>
      <w:r w:rsidR="008773E8">
        <w:t>ez</w:t>
      </w:r>
      <w:r w:rsidR="001E3064">
        <w:t>en</w:t>
      </w:r>
      <w:proofErr w:type="gramEnd"/>
      <w:r w:rsidR="001E3064">
        <w:t xml:space="preserve"> mutató</w:t>
      </w:r>
      <w:r w:rsidR="00B300F6">
        <w:t xml:space="preserve"> legalacsonyabb </w:t>
      </w:r>
      <w:r w:rsidR="001E3064">
        <w:t xml:space="preserve">értéke </w:t>
      </w:r>
      <w:r w:rsidR="00B300F6">
        <w:t xml:space="preserve">a következő félévben </w:t>
      </w:r>
      <w:r w:rsidR="008773E8">
        <w:t>61,57</w:t>
      </w:r>
      <w:r w:rsidR="00B300F6">
        <w:t xml:space="preserve"> óra</w:t>
      </w:r>
      <w:r w:rsidR="008773E8">
        <w:t xml:space="preserve"> volt.</w:t>
      </w:r>
      <w:r w:rsidR="001E3064">
        <w:t xml:space="preserve"> Nagyfokú eltéréseket mutatnak a félévek óraszámok tekintetében, itt nem érdemes trendet tekinteni, hiszen a tanmenetek </w:t>
      </w:r>
      <w:r w:rsidR="00E77B9C">
        <w:t>határozzák meg, így ez a befolyásoló tényező</w:t>
      </w:r>
      <w:r w:rsidR="001E3064">
        <w:t>.</w:t>
      </w:r>
    </w:p>
    <w:p w:rsidR="001E3064" w:rsidRDefault="001E3064" w:rsidP="009E0CAA">
      <w:pPr>
        <w:jc w:val="both"/>
      </w:pPr>
      <w:r>
        <w:t xml:space="preserve">Emellett megállapítható, hogy a hét tanítási napjai közül a hétfő-szerdai időszak a </w:t>
      </w:r>
      <w:proofErr w:type="spellStart"/>
      <w:r>
        <w:t>legleterheltebb</w:t>
      </w:r>
      <w:proofErr w:type="spellEnd"/>
      <w:r>
        <w:t xml:space="preserve"> 37,48% - </w:t>
      </w:r>
      <w:r w:rsidR="004B3A62">
        <w:t>27,53%-</w:t>
      </w:r>
      <w:proofErr w:type="spellStart"/>
      <w:r w:rsidR="004B3A62">
        <w:t>os</w:t>
      </w:r>
      <w:proofErr w:type="spellEnd"/>
      <w:r w:rsidR="004B3A62">
        <w:t xml:space="preserve"> kihasznált</w:t>
      </w:r>
      <w:r w:rsidR="00160855">
        <w:t>sá</w:t>
      </w:r>
      <w:r w:rsidR="004B3A62">
        <w:t>gi aránnyal, mind a 319 helyszínre vetítve az arányokat. Minden félévben a szombat a legkevésbé kihasznált, csak a levelezős hallgatók</w:t>
      </w:r>
      <w:r w:rsidR="0097463C">
        <w:t xml:space="preserve"> és tanáraik</w:t>
      </w:r>
      <w:r w:rsidR="004B3A62">
        <w:t xml:space="preserve"> használják ekkor a termeket: az arányok 17,20 – 25,14 között mozognak</w:t>
      </w:r>
      <w:r w:rsidR="0097463C">
        <w:t>.</w:t>
      </w:r>
    </w:p>
    <w:p w:rsidR="000B63F8" w:rsidRPr="00686B02" w:rsidRDefault="00686B02" w:rsidP="009E0CAA">
      <w:pPr>
        <w:jc w:val="both"/>
      </w:pPr>
      <w:r w:rsidRPr="00686B02">
        <w:t>Egyéb helyiségekként kategorizáltuk azokat a helyszíneket, melyek saját épületeinken belüli, de nem tanteremként nyilvántartott helyiség vagy</w:t>
      </w:r>
      <w:r w:rsidR="000B63F8" w:rsidRPr="00686B02">
        <w:t xml:space="preserve"> külsős helyszín, ahol </w:t>
      </w:r>
      <w:r w:rsidRPr="00686B02">
        <w:t xml:space="preserve">pl. </w:t>
      </w:r>
      <w:r w:rsidR="000B63F8" w:rsidRPr="00686B02">
        <w:t>gyakorlati órák zajlanak</w:t>
      </w:r>
      <w:r w:rsidRPr="00686B02">
        <w:t>.</w:t>
      </w:r>
    </w:p>
    <w:p w:rsidR="000B63F8" w:rsidRDefault="000B63F8" w:rsidP="009E0CAA">
      <w:pPr>
        <w:jc w:val="both"/>
      </w:pPr>
      <w:r>
        <w:t>Az oktatótermek kihasználtsága a tanulmány fő témája ezért ezekkel részletesebben foglalkozunk.</w:t>
      </w:r>
    </w:p>
    <w:p w:rsidR="00686B02" w:rsidRDefault="00686B02">
      <w:pPr>
        <w:rPr>
          <w:b/>
        </w:rPr>
      </w:pPr>
      <w:r>
        <w:rPr>
          <w:b/>
        </w:rPr>
        <w:br w:type="page"/>
      </w:r>
    </w:p>
    <w:p w:rsidR="00E77B9C" w:rsidRPr="00686B02" w:rsidRDefault="00686B02" w:rsidP="00686B02">
      <w:pPr>
        <w:pStyle w:val="Cmsor2"/>
        <w:rPr>
          <w:b/>
        </w:rPr>
      </w:pPr>
      <w:bookmarkStart w:id="5" w:name="_Toc515454128"/>
      <w:r w:rsidRPr="00686B02">
        <w:rPr>
          <w:b/>
        </w:rPr>
        <w:lastRenderedPageBreak/>
        <w:t>Oktatótermek kihasználtság</w:t>
      </w:r>
      <w:bookmarkEnd w:id="5"/>
      <w:r w:rsidR="001572BF">
        <w:rPr>
          <w:b/>
        </w:rPr>
        <w:t>ának vizsgálata</w:t>
      </w:r>
    </w:p>
    <w:p w:rsidR="00E40A3A" w:rsidRPr="00E40A3A" w:rsidRDefault="00E40A3A" w:rsidP="00686B02">
      <w:pPr>
        <w:pStyle w:val="Cmsor3"/>
      </w:pPr>
      <w:bookmarkStart w:id="6" w:name="_Toc515454129"/>
      <w:r w:rsidRPr="00E40A3A">
        <w:t xml:space="preserve">Egri </w:t>
      </w:r>
      <w:r w:rsidR="00AB3792">
        <w:t>Campus</w:t>
      </w:r>
      <w:bookmarkEnd w:id="6"/>
    </w:p>
    <w:p w:rsidR="00983418" w:rsidRDefault="00AB3792" w:rsidP="009E0CAA">
      <w:pPr>
        <w:jc w:val="both"/>
      </w:pPr>
      <w:r>
        <w:t>Először az E</w:t>
      </w:r>
      <w:r w:rsidR="00983418">
        <w:t xml:space="preserve">gri </w:t>
      </w:r>
      <w:r>
        <w:t>Campus</w:t>
      </w:r>
      <w:r w:rsidR="00983418">
        <w:t xml:space="preserve"> oktatási termeinek kihasználtságát vesszük górcső alá. Ez a legnagyobb </w:t>
      </w:r>
      <w:r>
        <w:t>Campus</w:t>
      </w:r>
      <w:r w:rsidR="00983418">
        <w:t>a egyetemünknek, itt 7 oktatási épület 105 tantermet foglal magába.</w:t>
      </w:r>
    </w:p>
    <w:p w:rsidR="00983418" w:rsidRDefault="00983418" w:rsidP="009E0CAA">
      <w:pPr>
        <w:jc w:val="both"/>
      </w:pPr>
      <w:r>
        <w:t xml:space="preserve">Az egri épületkihasználtság a legmagasabb arányú, itt zajlik az egyetemi oktatás 80%-a. Itt találjuk a legmagasabb óraszámokat és ehhez kapcsolódóan a legmagasabb fokú </w:t>
      </w:r>
      <w:proofErr w:type="spellStart"/>
      <w:r>
        <w:t>kihasználtságot</w:t>
      </w:r>
      <w:proofErr w:type="spellEnd"/>
      <w:r>
        <w:t xml:space="preserve"> is. A 6 félév átlagát tekintve a 7 épület oktatótermeinek átlagos heti kihasználtsága 49,89%-</w:t>
      </w:r>
      <w:proofErr w:type="spellStart"/>
      <w:r>
        <w:t>os</w:t>
      </w:r>
      <w:proofErr w:type="spellEnd"/>
      <w:r>
        <w:t>, ugyanerre az időszakra a ma</w:t>
      </w:r>
      <w:r w:rsidR="00DE4D2D">
        <w:t>ximális heti kihasználtság 99,32</w:t>
      </w:r>
      <w:r>
        <w:t>%.</w:t>
      </w:r>
      <w:r w:rsidR="009E6962">
        <w:t xml:space="preserve"> Ahogyan az intézményi átlag mutatja itt is a hétfő-kedd-szerdai napok a legzsúfoltabbak, míg a szombati napok a legkevésbé t</w:t>
      </w:r>
      <w:r w:rsidR="00DE4D2D">
        <w:t>e</w:t>
      </w:r>
      <w:r w:rsidR="009E6962">
        <w:t>lítettek.</w:t>
      </w:r>
    </w:p>
    <w:p w:rsidR="00F076A0" w:rsidRDefault="00A83482" w:rsidP="00F076A0">
      <w:pPr>
        <w:jc w:val="both"/>
      </w:pPr>
      <w:r>
        <w:t xml:space="preserve">Mivel a </w:t>
      </w:r>
      <w:proofErr w:type="spellStart"/>
      <w:r>
        <w:t>kihasználtságot</w:t>
      </w:r>
      <w:proofErr w:type="spellEnd"/>
      <w:r>
        <w:t xml:space="preserve"> a heti óraszámok alapján állapíthatjuk meg, így fontosnak tartjuk ezen adatok bemutatását is, mely szerint az átlag óraszámok növekedése (16,61 órával) és a maximális óraszámok csökkenése (5,17 órával) tapasztalható a 6 félévre visszamenően. A maximális óraszámok átlaga 2015/16/1 félévében volt a legmagasabb (68,31 óra), a következő félévben a legalacsonyabb. Az átlag óraszámok tekintetében a 2015/16/2 félév</w:t>
      </w:r>
      <w:r w:rsidR="00140A7D">
        <w:t>ben</w:t>
      </w:r>
      <w:r>
        <w:t xml:space="preserve"> volt a </w:t>
      </w:r>
      <w:r w:rsidR="00140A7D">
        <w:t>legalacsonyabb átlagóraszám is (20,70 óra), majd a legmagasabb a következő szemeszter első féléve volt a 2016/17/1-es.</w:t>
      </w:r>
      <w:r w:rsidR="00F076A0" w:rsidRPr="00F076A0">
        <w:t xml:space="preserve"> </w:t>
      </w:r>
    </w:p>
    <w:p w:rsidR="00F076A0" w:rsidRDefault="00F076A0" w:rsidP="00F076A0">
      <w:pPr>
        <w:jc w:val="both"/>
      </w:pPr>
      <w:r>
        <w:t>Az alábbi táblázatban féléves bontásban láthatók a részletek, melyből az derül ki, hogy 2015/16/1 félévéhez képest 2017/18/2 félévre 5,09%-</w:t>
      </w:r>
      <w:proofErr w:type="spellStart"/>
      <w:r>
        <w:t>kal</w:t>
      </w:r>
      <w:proofErr w:type="spellEnd"/>
      <w:r>
        <w:t xml:space="preserve"> csökkent az átlagos kihasználtság, míg 7,17%-</w:t>
      </w:r>
      <w:proofErr w:type="spellStart"/>
      <w:r>
        <w:t>kal</w:t>
      </w:r>
      <w:proofErr w:type="spellEnd"/>
      <w:r>
        <w:t xml:space="preserve"> a maximális kihasználtság. A csökkenés hátterében a csökkenő hallgatói létszám, és a sokszínű oktatási struktúra lehet.</w:t>
      </w:r>
    </w:p>
    <w:p w:rsidR="00A83482" w:rsidRDefault="00A83482" w:rsidP="009E0CAA">
      <w:pPr>
        <w:jc w:val="both"/>
      </w:pPr>
    </w:p>
    <w:p w:rsidR="00A83482" w:rsidRDefault="00A83482" w:rsidP="009E0CAA">
      <w:pPr>
        <w:jc w:val="both"/>
      </w:pPr>
      <w:r>
        <w:rPr>
          <w:noProof/>
          <w:lang w:eastAsia="hu-HU"/>
        </w:rPr>
        <w:drawing>
          <wp:inline distT="0" distB="0" distL="0" distR="0" wp14:anchorId="1A650225" wp14:editId="30100E59">
            <wp:extent cx="5762625" cy="2400300"/>
            <wp:effectExtent l="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074" w:rsidRDefault="00B54074" w:rsidP="009E0CAA">
      <w:pPr>
        <w:jc w:val="both"/>
      </w:pPr>
    </w:p>
    <w:p w:rsidR="00983418" w:rsidRDefault="00DE4D2D" w:rsidP="009E0CAA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73033C0E" wp14:editId="5E23C91D">
            <wp:extent cx="5762625" cy="3124200"/>
            <wp:effectExtent l="0" t="0" r="9525" b="0"/>
            <wp:docPr id="29" name="Diagra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4D2D" w:rsidRDefault="00DE4D2D" w:rsidP="00A83482">
      <w:pPr>
        <w:jc w:val="both"/>
      </w:pPr>
    </w:p>
    <w:p w:rsidR="00A83482" w:rsidRDefault="00A83482" w:rsidP="00A83482">
      <w:pPr>
        <w:jc w:val="both"/>
      </w:pPr>
      <w:r>
        <w:t xml:space="preserve">Természetesen nagyon fontos az összkép, de az </w:t>
      </w:r>
      <w:proofErr w:type="spellStart"/>
      <w:r>
        <w:t>épületenkénti</w:t>
      </w:r>
      <w:proofErr w:type="spellEnd"/>
      <w:r>
        <w:t xml:space="preserve"> kihasználtság is fontos döntések előkészítését teszi lehetővé.</w:t>
      </w:r>
      <w:r w:rsidR="00987BB2">
        <w:t xml:space="preserve"> Minden épület elemzésekor bemutatjuk az épület termeinek átlagos kihasználtságát is, ehhez tartozóan színekkel jelöljük a leginkább és legkevésbé kihasznált 3 termet. A </w:t>
      </w:r>
      <w:proofErr w:type="spellStart"/>
      <w:r w:rsidR="00987BB2">
        <w:t>legkihasználtabb</w:t>
      </w:r>
      <w:proofErr w:type="spellEnd"/>
      <w:r w:rsidR="00987BB2">
        <w:t xml:space="preserve"> terem a legsötétebb zöld hátteret kapta, mely további két fokozatban halványul</w:t>
      </w:r>
      <w:r w:rsidR="00DE4D2D">
        <w:t xml:space="preserve"> (ahogyan a kihasználtság csökken)</w:t>
      </w:r>
      <w:r w:rsidR="00987BB2">
        <w:t xml:space="preserve">; a legkevésbé kihasznált terem pedig sötét </w:t>
      </w:r>
      <w:proofErr w:type="gramStart"/>
      <w:r w:rsidR="00987BB2">
        <w:t>narancs színt</w:t>
      </w:r>
      <w:proofErr w:type="gramEnd"/>
      <w:r w:rsidR="00987BB2">
        <w:t xml:space="preserve"> kapott, mely további két fokozatban halványul</w:t>
      </w:r>
      <w:r w:rsidR="00DE4D2D">
        <w:t xml:space="preserve"> (ahogyan a kihasználtság növekszik)</w:t>
      </w:r>
      <w:r w:rsidR="00987BB2">
        <w:t>.</w:t>
      </w:r>
    </w:p>
    <w:p w:rsidR="00E77B9C" w:rsidRDefault="00E77B9C" w:rsidP="009E0CAA">
      <w:pPr>
        <w:jc w:val="both"/>
        <w:rPr>
          <w:b/>
        </w:rPr>
      </w:pPr>
    </w:p>
    <w:p w:rsidR="00E40A3A" w:rsidRPr="00E40A3A" w:rsidRDefault="00E40A3A" w:rsidP="009E0CAA">
      <w:pPr>
        <w:jc w:val="both"/>
        <w:rPr>
          <w:b/>
        </w:rPr>
      </w:pPr>
      <w:proofErr w:type="gramStart"/>
      <w:r w:rsidRPr="00E40A3A">
        <w:rPr>
          <w:b/>
        </w:rPr>
        <w:t>A</w:t>
      </w:r>
      <w:proofErr w:type="gramEnd"/>
      <w:r w:rsidRPr="00E40A3A">
        <w:rPr>
          <w:b/>
        </w:rPr>
        <w:t xml:space="preserve"> épület</w:t>
      </w:r>
    </w:p>
    <w:p w:rsidR="009C75D7" w:rsidRDefault="00571BD6" w:rsidP="009E0CAA">
      <w:pPr>
        <w:jc w:val="both"/>
      </w:pPr>
      <w:r>
        <w:t>Az</w:t>
      </w:r>
      <w:r w:rsidR="00E77B9C">
        <w:t xml:space="preserve"> egyetem közpo</w:t>
      </w:r>
      <w:r w:rsidR="00694870">
        <w:t>nti épülete</w:t>
      </w:r>
      <w:r>
        <w:t xml:space="preserve"> a Líceum (A épület), melyben 13 oktatótermet tartunk nyilván. Ezek kihasználtságának átlaga </w:t>
      </w:r>
      <w:r w:rsidR="00EB4970">
        <w:t xml:space="preserve">a 6 vizsgált félév tekintetében </w:t>
      </w:r>
      <w:r w:rsidR="00B70721">
        <w:t>50,31% (közepesen kihasznált),</w:t>
      </w:r>
      <w:r>
        <w:t xml:space="preserve"> míg a maximális ki</w:t>
      </w:r>
      <w:r w:rsidR="00AD56BF">
        <w:t>használtsága 88,12</w:t>
      </w:r>
      <w:r>
        <w:t>%</w:t>
      </w:r>
      <w:r w:rsidR="00D549F0">
        <w:t xml:space="preserve">.  </w:t>
      </w:r>
    </w:p>
    <w:p w:rsidR="009C75D7" w:rsidRDefault="009C75D7" w:rsidP="009E0CAA">
      <w:pPr>
        <w:jc w:val="both"/>
      </w:pPr>
      <w:r>
        <w:t>Érdekes megfigyelni, hogy a vizsgált időszak első félévéhez képest az utolsóig 16,39%-</w:t>
      </w:r>
      <w:proofErr w:type="spellStart"/>
      <w:r>
        <w:t>kal</w:t>
      </w:r>
      <w:proofErr w:type="spellEnd"/>
      <w:r>
        <w:t xml:space="preserve"> csökkent az átlagos, míg 1,91%-nőtt a maximális kihasználtság. Kiemelkedő maximális érték mutatkozik a 2016/17/2-es félévében, ahol 91,56%-</w:t>
      </w:r>
      <w:proofErr w:type="spellStart"/>
      <w:r>
        <w:t>os</w:t>
      </w:r>
      <w:proofErr w:type="spellEnd"/>
      <w:r>
        <w:t xml:space="preserve"> volt a maximális kihasználtsága a 319-es előadónak (ebben a félévben a legrosszabb mutatója 61,54%-</w:t>
      </w:r>
      <w:proofErr w:type="spellStart"/>
      <w:r>
        <w:t>os</w:t>
      </w:r>
      <w:proofErr w:type="spellEnd"/>
      <w:r>
        <w:t xml:space="preserve"> volt a szombati napok tekintetében</w:t>
      </w:r>
      <w:r w:rsidR="00757B73">
        <w:t>; péntekenként 87,82%, a többi napokon 100%-</w:t>
      </w:r>
      <w:proofErr w:type="spellStart"/>
      <w:r w:rsidR="00757B73">
        <w:t>on</w:t>
      </w:r>
      <w:proofErr w:type="spellEnd"/>
      <w:r w:rsidR="00757B73">
        <w:t xml:space="preserve"> üzemelt</w:t>
      </w:r>
      <w:r>
        <w:t>).</w:t>
      </w:r>
      <w:r w:rsidR="00DD2771">
        <w:t xml:space="preserve"> </w:t>
      </w:r>
    </w:p>
    <w:p w:rsidR="00967B67" w:rsidRDefault="00571BD6" w:rsidP="009E0CAA">
      <w:pPr>
        <w:jc w:val="both"/>
      </w:pPr>
      <w:r>
        <w:t xml:space="preserve">A leginkább telített helyiség a 319-es előadó, kihasználtságának átlaga 68,54%, </w:t>
      </w:r>
      <w:r w:rsidR="00D549F0">
        <w:t>maximuma 87,20%, a terem legrosszabb teljesítménye a 2016/17/2 félévének szombatjain volt, ekkor 51,79%-</w:t>
      </w:r>
      <w:proofErr w:type="spellStart"/>
      <w:r w:rsidR="00D549F0">
        <w:t>os</w:t>
      </w:r>
      <w:proofErr w:type="spellEnd"/>
      <w:r w:rsidR="00D549F0">
        <w:t xml:space="preserve"> volt. A</w:t>
      </w:r>
      <w:r>
        <w:t xml:space="preserve"> második a Pap István terem (308), a harmadik az Eszterházy Pál zeneterem (125), 64,76%-</w:t>
      </w:r>
      <w:proofErr w:type="spellStart"/>
      <w:r>
        <w:t>os</w:t>
      </w:r>
      <w:proofErr w:type="spellEnd"/>
      <w:r>
        <w:t xml:space="preserve"> átlag kihasználtsággal. Minden terem 20%-</w:t>
      </w:r>
      <w:proofErr w:type="spellStart"/>
      <w:r>
        <w:t>os</w:t>
      </w:r>
      <w:proofErr w:type="spellEnd"/>
      <w:r>
        <w:t xml:space="preserve"> kihasználtság fölött</w:t>
      </w:r>
      <w:r w:rsidR="00694870">
        <w:t xml:space="preserve"> működik</w:t>
      </w:r>
      <w:r>
        <w:t>, a legalacsonyabb mutatója a 316-os előadónak van, 24,62%</w:t>
      </w:r>
      <w:r w:rsidR="00694870">
        <w:t>, itt a második a Könyvtár 313-as előadója 30,66%</w:t>
      </w:r>
      <w:r w:rsidR="00065C96">
        <w:t>, a harmadik a 327-es számítógépes terem, 38,67%-</w:t>
      </w:r>
      <w:proofErr w:type="spellStart"/>
      <w:r w:rsidR="00065C96">
        <w:t>kal</w:t>
      </w:r>
      <w:proofErr w:type="spellEnd"/>
      <w:r w:rsidR="00065C96">
        <w:t>. Így látható, hogy a tantermek kihasználtsági „középmezőnye” 40-60% között mozog.</w:t>
      </w:r>
    </w:p>
    <w:p w:rsidR="00873779" w:rsidRDefault="002933C3" w:rsidP="009E0CAA">
      <w:pPr>
        <w:jc w:val="both"/>
      </w:pPr>
      <w:r>
        <w:t xml:space="preserve">Ha a fentebbi 4 fokozatú skálát vesszük </w:t>
      </w:r>
      <w:proofErr w:type="gramStart"/>
      <w:r>
        <w:t>alapul</w:t>
      </w:r>
      <w:proofErr w:type="gramEnd"/>
      <w:r>
        <w:t xml:space="preserve"> akkor azonban </w:t>
      </w:r>
      <w:r w:rsidR="00C65BBC">
        <w:t>csak 2</w:t>
      </w:r>
      <w:r w:rsidR="004978BB">
        <w:t xml:space="preserve"> termet nevezhetünk kihasználtnak</w:t>
      </w:r>
      <w:r w:rsidR="00C65BBC">
        <w:t xml:space="preserve"> (308,125)</w:t>
      </w:r>
      <w:r w:rsidR="004978BB">
        <w:t>, mely 60%-80% között arányban van használatban</w:t>
      </w:r>
      <w:r w:rsidR="00C65BBC">
        <w:t xml:space="preserve"> és a 319-es termet teljesen kihasználtnak</w:t>
      </w:r>
      <w:r w:rsidR="004978BB">
        <w:t>.</w:t>
      </w:r>
    </w:p>
    <w:p w:rsidR="00B54074" w:rsidRDefault="00B54074" w:rsidP="009E0CAA">
      <w:pPr>
        <w:jc w:val="both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1492"/>
        <w:gridCol w:w="1984"/>
        <w:gridCol w:w="2127"/>
      </w:tblGrid>
      <w:tr w:rsidR="0005775B" w:rsidRPr="00873779" w:rsidTr="0005775B">
        <w:trPr>
          <w:trHeight w:val="300"/>
          <w:jc w:val="center"/>
        </w:trPr>
        <w:tc>
          <w:tcPr>
            <w:tcW w:w="3890" w:type="dxa"/>
            <w:shd w:val="clear" w:color="auto" w:fill="5B9BD5" w:themeFill="accent1"/>
            <w:noWrap/>
            <w:vAlign w:val="bottom"/>
          </w:tcPr>
          <w:p w:rsidR="0005775B" w:rsidRPr="00873779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A épület, </w:t>
            </w:r>
            <w:r w:rsidRPr="0087377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Terem megnevezése</w:t>
            </w:r>
          </w:p>
        </w:tc>
        <w:tc>
          <w:tcPr>
            <w:tcW w:w="1492" w:type="dxa"/>
            <w:shd w:val="clear" w:color="auto" w:fill="5B9BD5" w:themeFill="accent1"/>
            <w:noWrap/>
            <w:vAlign w:val="bottom"/>
          </w:tcPr>
          <w:p w:rsidR="0005775B" w:rsidRPr="00873779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7377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Száma</w:t>
            </w:r>
          </w:p>
        </w:tc>
        <w:tc>
          <w:tcPr>
            <w:tcW w:w="1984" w:type="dxa"/>
            <w:shd w:val="clear" w:color="auto" w:fill="5B9BD5" w:themeFill="accent1"/>
          </w:tcPr>
          <w:p w:rsidR="0005775B" w:rsidRPr="00873779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7377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Átlagkihasználtsága</w:t>
            </w:r>
          </w:p>
        </w:tc>
        <w:tc>
          <w:tcPr>
            <w:tcW w:w="2127" w:type="dxa"/>
            <w:shd w:val="clear" w:color="auto" w:fill="5B9BD5" w:themeFill="accent1"/>
          </w:tcPr>
          <w:p w:rsidR="0005775B" w:rsidRPr="00873779" w:rsidRDefault="0005775B" w:rsidP="00E4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Kihasználtság </w:t>
            </w:r>
            <w:r w:rsidR="00E4111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kategóriája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Borlabor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.007)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.Als.007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2E2509" w:rsidRDefault="0005775B" w:rsidP="00873779">
            <w:pPr>
              <w:spacing w:after="0" w:line="240" w:lineRule="auto"/>
              <w:jc w:val="center"/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44,63%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Számítógépes 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.008/B IBM)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.Als.008/B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2E2509" w:rsidRDefault="0005775B" w:rsidP="0005775B">
            <w:pPr>
              <w:spacing w:after="0" w:line="240" w:lineRule="auto"/>
              <w:jc w:val="center"/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49,67%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Default="0005775B" w:rsidP="0005775B">
            <w:r w:rsidRPr="009D7C4B"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Számítógépes 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.008/J Mac)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.Als.008/J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EB4970" w:rsidRDefault="0005775B" w:rsidP="0005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53,22%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Default="0005775B" w:rsidP="0005775B">
            <w:r w:rsidRPr="009D7C4B"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Számítógépes 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.017)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.Als.017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EB4970" w:rsidRDefault="0005775B" w:rsidP="0005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42,90%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Default="0005775B" w:rsidP="0005775B">
            <w:r w:rsidRPr="009D7C4B"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Animációs műhely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.018)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.Als.018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EB4970" w:rsidRDefault="0005775B" w:rsidP="0005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46,23%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Default="0005775B" w:rsidP="0005775B">
            <w:r w:rsidRPr="009D7C4B"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A8D08D" w:themeFill="accent6" w:themeFillTint="99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Esterházy Pál Zeneterem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.125)</w:t>
            </w:r>
          </w:p>
        </w:tc>
        <w:tc>
          <w:tcPr>
            <w:tcW w:w="1492" w:type="dxa"/>
            <w:shd w:val="clear" w:color="auto" w:fill="A8D08D" w:themeFill="accent6" w:themeFillTint="99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.FSZ.125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64,76%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Ének - Zene Tanszék Gyakorlóterem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.126)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.FSZ.126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EB4970" w:rsidRDefault="0005775B" w:rsidP="0005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45,90%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Default="0005775B" w:rsidP="0005775B">
            <w:r w:rsidRPr="00F97136"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AUDITORIUM DIGITÁRIUM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302)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  <w:hideMark/>
          </w:tcPr>
          <w:p w:rsidR="0005775B" w:rsidRPr="00EB4970" w:rsidRDefault="0005775B" w:rsidP="00057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.II.302</w:t>
            </w:r>
          </w:p>
        </w:tc>
        <w:tc>
          <w:tcPr>
            <w:tcW w:w="1984" w:type="dxa"/>
            <w:shd w:val="clear" w:color="auto" w:fill="FFFFFF" w:themeFill="background1"/>
          </w:tcPr>
          <w:p w:rsidR="0005775B" w:rsidRPr="00EB4970" w:rsidRDefault="0005775B" w:rsidP="00057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57,03%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Default="0005775B" w:rsidP="0005775B">
            <w:r w:rsidRPr="00F97136"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538135" w:themeFill="accent6" w:themeFillShade="BF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Pap István 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308)</w:t>
            </w:r>
          </w:p>
        </w:tc>
        <w:tc>
          <w:tcPr>
            <w:tcW w:w="1492" w:type="dxa"/>
            <w:shd w:val="clear" w:color="auto" w:fill="538135" w:themeFill="accent6" w:themeFillShade="BF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.II.308</w:t>
            </w:r>
          </w:p>
        </w:tc>
        <w:tc>
          <w:tcPr>
            <w:tcW w:w="1984" w:type="dxa"/>
            <w:shd w:val="clear" w:color="auto" w:fill="538135" w:themeFill="accent6" w:themeFillShade="BF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68,54%</w:t>
            </w:r>
          </w:p>
        </w:tc>
        <w:tc>
          <w:tcPr>
            <w:tcW w:w="2127" w:type="dxa"/>
            <w:shd w:val="clear" w:color="auto" w:fill="538135" w:themeFill="accent6" w:themeFillShade="BF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C45911" w:themeFill="accent2" w:themeFillShade="BF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Könyvtár - Olvasó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313)</w:t>
            </w:r>
          </w:p>
        </w:tc>
        <w:tc>
          <w:tcPr>
            <w:tcW w:w="1492" w:type="dxa"/>
            <w:shd w:val="clear" w:color="auto" w:fill="C45911" w:themeFill="accent2" w:themeFillShade="BF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.II.313</w:t>
            </w:r>
          </w:p>
        </w:tc>
        <w:tc>
          <w:tcPr>
            <w:tcW w:w="1984" w:type="dxa"/>
            <w:shd w:val="clear" w:color="auto" w:fill="C45911" w:themeFill="accent2" w:themeFillShade="BF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30,66%</w:t>
            </w:r>
          </w:p>
        </w:tc>
        <w:tc>
          <w:tcPr>
            <w:tcW w:w="2127" w:type="dxa"/>
            <w:shd w:val="clear" w:color="auto" w:fill="C45911" w:themeFill="accent2" w:themeFillShade="BF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833C0B" w:themeFill="accent2" w:themeFillShade="80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Előadóterem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316)</w:t>
            </w:r>
          </w:p>
        </w:tc>
        <w:tc>
          <w:tcPr>
            <w:tcW w:w="1492" w:type="dxa"/>
            <w:shd w:val="clear" w:color="auto" w:fill="833C0B" w:themeFill="accent2" w:themeFillShade="80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.II.316</w:t>
            </w:r>
          </w:p>
        </w:tc>
        <w:tc>
          <w:tcPr>
            <w:tcW w:w="1984" w:type="dxa"/>
            <w:shd w:val="clear" w:color="auto" w:fill="833C0B" w:themeFill="accent2" w:themeFillShade="80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24,62%</w:t>
            </w:r>
          </w:p>
        </w:tc>
        <w:tc>
          <w:tcPr>
            <w:tcW w:w="2127" w:type="dxa"/>
            <w:shd w:val="clear" w:color="auto" w:fill="833C0B" w:themeFill="accent2" w:themeFillShade="80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385623" w:themeFill="accent6" w:themeFillShade="80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Előadóterem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319)</w:t>
            </w:r>
          </w:p>
        </w:tc>
        <w:tc>
          <w:tcPr>
            <w:tcW w:w="1492" w:type="dxa"/>
            <w:shd w:val="clear" w:color="auto" w:fill="385623" w:themeFill="accent6" w:themeFillShade="80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.II.319</w:t>
            </w:r>
          </w:p>
        </w:tc>
        <w:tc>
          <w:tcPr>
            <w:tcW w:w="1984" w:type="dxa"/>
            <w:shd w:val="clear" w:color="auto" w:fill="385623" w:themeFill="accent6" w:themeFillShade="80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87,20%</w:t>
            </w:r>
          </w:p>
        </w:tc>
        <w:tc>
          <w:tcPr>
            <w:tcW w:w="2127" w:type="dxa"/>
            <w:shd w:val="clear" w:color="auto" w:fill="385623" w:themeFill="accent6" w:themeFillShade="80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t>teljesen kihasznált</w:t>
            </w:r>
          </w:p>
        </w:tc>
      </w:tr>
      <w:tr w:rsidR="0005775B" w:rsidRPr="00EB4970" w:rsidTr="0005775B">
        <w:trPr>
          <w:trHeight w:val="300"/>
          <w:jc w:val="center"/>
        </w:trPr>
        <w:tc>
          <w:tcPr>
            <w:tcW w:w="3890" w:type="dxa"/>
            <w:shd w:val="clear" w:color="auto" w:fill="F4B083" w:themeFill="accent2" w:themeFillTint="99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Számítógépes terem (A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327)</w:t>
            </w:r>
          </w:p>
        </w:tc>
        <w:tc>
          <w:tcPr>
            <w:tcW w:w="1492" w:type="dxa"/>
            <w:shd w:val="clear" w:color="auto" w:fill="F4B083" w:themeFill="accent2" w:themeFillTint="99"/>
            <w:noWrap/>
            <w:vAlign w:val="bottom"/>
            <w:hideMark/>
          </w:tcPr>
          <w:p w:rsidR="0005775B" w:rsidRPr="00EB497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E.</w:t>
            </w:r>
            <w:proofErr w:type="gramStart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.II.327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B4970">
              <w:rPr>
                <w:rFonts w:ascii="Calibri" w:eastAsia="Times New Roman" w:hAnsi="Calibri" w:cs="Calibri"/>
                <w:color w:val="000000"/>
                <w:lang w:eastAsia="hu-HU"/>
              </w:rPr>
              <w:t>38,67%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05775B" w:rsidRPr="00EB497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05775B" w:rsidRPr="00D549F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</w:tcPr>
          <w:p w:rsidR="0005775B" w:rsidRPr="00D549F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D549F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</w:tcPr>
          <w:p w:rsidR="0005775B" w:rsidRPr="00D549F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5775B" w:rsidRPr="00D549F0" w:rsidRDefault="0005775B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D549F0">
              <w:rPr>
                <w:b/>
              </w:rPr>
              <w:t>50,31%,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Pr="00D549F0" w:rsidRDefault="00884C62" w:rsidP="008737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közepesen kihasznált</w:t>
            </w:r>
          </w:p>
        </w:tc>
      </w:tr>
      <w:tr w:rsidR="0005775B" w:rsidRPr="00D549F0" w:rsidTr="0005775B">
        <w:trPr>
          <w:trHeight w:val="300"/>
          <w:jc w:val="center"/>
        </w:trPr>
        <w:tc>
          <w:tcPr>
            <w:tcW w:w="3890" w:type="dxa"/>
            <w:shd w:val="clear" w:color="auto" w:fill="FFFFFF" w:themeFill="background1"/>
            <w:noWrap/>
            <w:vAlign w:val="bottom"/>
          </w:tcPr>
          <w:p w:rsidR="0005775B" w:rsidRPr="00D549F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D549F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</w:tcPr>
          <w:p w:rsidR="0005775B" w:rsidRPr="00D549F0" w:rsidRDefault="0005775B" w:rsidP="00EB497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5775B" w:rsidRPr="00D549F0" w:rsidRDefault="00AD56BF" w:rsidP="00873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b/>
              </w:rPr>
              <w:t>88,12</w:t>
            </w:r>
            <w:r w:rsidR="0005775B" w:rsidRPr="00D549F0">
              <w:rPr>
                <w:b/>
              </w:rPr>
              <w:t>%</w:t>
            </w:r>
          </w:p>
        </w:tc>
        <w:tc>
          <w:tcPr>
            <w:tcW w:w="2127" w:type="dxa"/>
            <w:shd w:val="clear" w:color="auto" w:fill="FFFFFF" w:themeFill="background1"/>
          </w:tcPr>
          <w:p w:rsidR="0005775B" w:rsidRPr="00D549F0" w:rsidRDefault="00E77B9C" w:rsidP="008737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teljesen kihasznált</w:t>
            </w:r>
          </w:p>
        </w:tc>
      </w:tr>
    </w:tbl>
    <w:p w:rsidR="002A4300" w:rsidRDefault="002A4300" w:rsidP="009E0CAA">
      <w:pPr>
        <w:jc w:val="both"/>
      </w:pPr>
    </w:p>
    <w:p w:rsidR="00B54074" w:rsidRDefault="00897D15" w:rsidP="009E0CAA">
      <w:pPr>
        <w:jc w:val="both"/>
      </w:pPr>
      <w:r>
        <w:rPr>
          <w:noProof/>
          <w:lang w:eastAsia="hu-HU"/>
        </w:rPr>
        <w:drawing>
          <wp:inline distT="0" distB="0" distL="0" distR="0" wp14:anchorId="1DE74A42" wp14:editId="4D188EF5">
            <wp:extent cx="5838825" cy="3257550"/>
            <wp:effectExtent l="0" t="0" r="9525" b="0"/>
            <wp:docPr id="34" name="Diagram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7D15" w:rsidRDefault="00897D15" w:rsidP="009E0CAA">
      <w:pPr>
        <w:jc w:val="both"/>
      </w:pPr>
    </w:p>
    <w:p w:rsidR="00DD2771" w:rsidRDefault="00DD2771" w:rsidP="009E0CAA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23123B2" wp14:editId="72334392">
            <wp:extent cx="5848350" cy="23717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4074" w:rsidRDefault="00B54074" w:rsidP="009E0CAA">
      <w:pPr>
        <w:jc w:val="both"/>
      </w:pPr>
    </w:p>
    <w:p w:rsidR="008D311F" w:rsidRPr="00E40A3A" w:rsidRDefault="00E40A3A" w:rsidP="009E0CAA">
      <w:pPr>
        <w:jc w:val="both"/>
        <w:rPr>
          <w:b/>
        </w:rPr>
      </w:pPr>
      <w:r w:rsidRPr="00E40A3A">
        <w:rPr>
          <w:b/>
        </w:rPr>
        <w:t>B épület</w:t>
      </w:r>
    </w:p>
    <w:p w:rsidR="00B54074" w:rsidRDefault="00AB3792" w:rsidP="009E0CAA">
      <w:pPr>
        <w:jc w:val="both"/>
      </w:pPr>
      <w:r>
        <w:t>Az E</w:t>
      </w:r>
      <w:r w:rsidR="00C16CFB">
        <w:t xml:space="preserve">gri </w:t>
      </w:r>
      <w:r>
        <w:t>Campus</w:t>
      </w:r>
      <w:r w:rsidR="00C16CFB">
        <w:t xml:space="preserve"> legnagyobb kapacitású, legtöbb hallgatót befogadni képes épülete a B épület</w:t>
      </w:r>
      <w:r w:rsidR="005A67F8">
        <w:t xml:space="preserve"> (Egészségház utca)</w:t>
      </w:r>
      <w:r w:rsidR="00C16CFB">
        <w:t>, mely</w:t>
      </w:r>
      <w:r w:rsidR="000A59FF">
        <w:t>nek 5 emeletén,</w:t>
      </w:r>
      <w:r w:rsidR="00C16CFB">
        <w:t xml:space="preserve"> 23 oktatóterem található</w:t>
      </w:r>
      <w:r w:rsidR="000A59FF">
        <w:t>.</w:t>
      </w:r>
      <w:r w:rsidR="00873779">
        <w:t xml:space="preserve"> A </w:t>
      </w:r>
      <w:r w:rsidR="009C68FE">
        <w:t xml:space="preserve">6 </w:t>
      </w:r>
      <w:r w:rsidR="00873779">
        <w:t>félév átlagát tekintve 71,14%-</w:t>
      </w:r>
      <w:proofErr w:type="spellStart"/>
      <w:r w:rsidR="00873779">
        <w:t>o</w:t>
      </w:r>
      <w:r w:rsidR="00D6255E">
        <w:t>s</w:t>
      </w:r>
      <w:proofErr w:type="spellEnd"/>
      <w:r w:rsidR="00B70721">
        <w:t xml:space="preserve"> (kihasznált)</w:t>
      </w:r>
      <w:r w:rsidR="00D6255E">
        <w:t xml:space="preserve"> az átlagkihasználtság és 92,35</w:t>
      </w:r>
      <w:r w:rsidR="00873779">
        <w:t>% a maximális.</w:t>
      </w:r>
      <w:r w:rsidR="000A59FF">
        <w:t xml:space="preserve"> Itt legnagyobb átlagkihasználtsággal (83,57%) a 119-es előadó rendelkezik, míg a legkisebbel a 118-as terem (61,32%)</w:t>
      </w:r>
      <w:r w:rsidR="00873779">
        <w:t>, ami azt mutatja, hogy az épület minden terme 60% fölötti, tehát kihasznált vagy teljesen kihasznált kategóriába sorolható. Ez utóbbiba két terem tartozik, a már említett 119-es és a 120-as terem (80,11%).</w:t>
      </w:r>
    </w:p>
    <w:p w:rsidR="0024398B" w:rsidRDefault="0024398B" w:rsidP="009E0CAA">
      <w:pPr>
        <w:jc w:val="both"/>
      </w:pPr>
    </w:p>
    <w:p w:rsidR="0024398B" w:rsidRDefault="0024398B" w:rsidP="009E0CAA">
      <w:pPr>
        <w:jc w:val="both"/>
      </w:pPr>
    </w:p>
    <w:p w:rsidR="0024398B" w:rsidRDefault="0024398B" w:rsidP="009E0CAA">
      <w:pPr>
        <w:jc w:val="both"/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2551"/>
        <w:gridCol w:w="2551"/>
      </w:tblGrid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5B9BD5" w:themeFill="accent1"/>
            <w:noWrap/>
            <w:vAlign w:val="center"/>
          </w:tcPr>
          <w:p w:rsidR="0005775B" w:rsidRPr="00B54074" w:rsidRDefault="0005775B" w:rsidP="000C0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 épület, t</w:t>
            </w:r>
            <w:r w:rsidRPr="00B54074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erem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száma</w:t>
            </w:r>
          </w:p>
        </w:tc>
        <w:tc>
          <w:tcPr>
            <w:tcW w:w="2551" w:type="dxa"/>
            <w:shd w:val="clear" w:color="auto" w:fill="5B9BD5" w:themeFill="accent1"/>
            <w:vAlign w:val="center"/>
          </w:tcPr>
          <w:p w:rsidR="0005775B" w:rsidRPr="00B54074" w:rsidRDefault="0005775B" w:rsidP="00243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b/>
                <w:lang w:eastAsia="hu-HU"/>
              </w:rPr>
              <w:t>Átlagos kihasználtsága</w:t>
            </w:r>
          </w:p>
        </w:tc>
        <w:tc>
          <w:tcPr>
            <w:tcW w:w="2551" w:type="dxa"/>
            <w:shd w:val="clear" w:color="auto" w:fill="5B9BD5" w:themeFill="accent1"/>
          </w:tcPr>
          <w:p w:rsidR="0005775B" w:rsidRPr="00B54074" w:rsidRDefault="00E41113" w:rsidP="00243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lang w:eastAsia="hu-HU"/>
              </w:rPr>
              <w:t>Kihasználtság kategóriája</w:t>
            </w:r>
          </w:p>
        </w:tc>
      </w:tr>
      <w:tr w:rsidR="0005775B" w:rsidRPr="00B54074" w:rsidTr="0005775B">
        <w:trPr>
          <w:trHeight w:val="305"/>
          <w:jc w:val="center"/>
        </w:trPr>
        <w:tc>
          <w:tcPr>
            <w:tcW w:w="3124" w:type="dxa"/>
            <w:shd w:val="clear" w:color="auto" w:fill="F4B083" w:themeFill="accent2" w:themeFillTint="99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FSZ.03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64,13%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FSZ.KIS EA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71,77%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C45911" w:themeFill="accent2" w:themeFillShade="BF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FSZ.NAGYEA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61,63%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73,21%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65,00%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FFFFFF" w:themeFill="background1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66,70%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68,24%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70,82%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78,29%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833C0B" w:themeFill="accent2" w:themeFillShade="80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61,32%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385623" w:themeFill="accent6" w:themeFillShade="80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83,57%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t>teljesen 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538135" w:themeFill="accent6" w:themeFillShade="BF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80,11%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t>teljesen 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72,24%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76,66%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I.123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72,64%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II.201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68,57%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II.202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67,33%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lastRenderedPageBreak/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II.203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67,45%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II.205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69,58%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II.206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70,19%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II.207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78,05%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8D08D" w:themeFill="accent6" w:themeFillTint="99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III.305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79,82%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B54074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05775B" w:rsidRPr="00B54074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.B.</w:t>
            </w:r>
            <w:proofErr w:type="gramEnd"/>
            <w:r w:rsidRPr="00B54074">
              <w:rPr>
                <w:rFonts w:ascii="Calibri" w:eastAsia="Times New Roman" w:hAnsi="Calibri" w:cs="Times New Roman"/>
                <w:color w:val="000000"/>
                <w:lang w:eastAsia="hu-HU"/>
              </w:rPr>
              <w:t>IV.404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 w:rsidRPr="00B54074">
              <w:rPr>
                <w:rFonts w:ascii="Calibri" w:hAnsi="Calibri"/>
              </w:rPr>
              <w:t>68,86%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B54074" w:rsidRDefault="0005775B" w:rsidP="0024398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24398B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</w:tcPr>
          <w:p w:rsidR="0005775B" w:rsidRPr="0024398B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24398B" w:rsidRDefault="0005775B" w:rsidP="0024398B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4398B">
              <w:rPr>
                <w:rFonts w:ascii="Calibri" w:hAnsi="Calibri"/>
                <w:b/>
              </w:rPr>
              <w:t>71,14%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884C62" w:rsidRDefault="00884C62" w:rsidP="0024398B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84C62">
              <w:rPr>
                <w:rFonts w:ascii="Calibri" w:hAnsi="Calibri"/>
                <w:b/>
              </w:rPr>
              <w:t>kihasznált</w:t>
            </w:r>
          </w:p>
        </w:tc>
      </w:tr>
      <w:tr w:rsidR="0005775B" w:rsidRPr="0024398B" w:rsidTr="0005775B">
        <w:trPr>
          <w:trHeight w:val="300"/>
          <w:jc w:val="center"/>
        </w:trPr>
        <w:tc>
          <w:tcPr>
            <w:tcW w:w="3124" w:type="dxa"/>
            <w:shd w:val="clear" w:color="auto" w:fill="auto"/>
            <w:noWrap/>
            <w:vAlign w:val="bottom"/>
          </w:tcPr>
          <w:p w:rsidR="0005775B" w:rsidRPr="0024398B" w:rsidRDefault="0005775B" w:rsidP="0024398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75B" w:rsidRPr="0024398B" w:rsidRDefault="00B70721" w:rsidP="0024398B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92,35</w:t>
            </w:r>
            <w:r w:rsidR="0005775B" w:rsidRPr="0024398B">
              <w:rPr>
                <w:rFonts w:ascii="Calibri" w:hAnsi="Calibri"/>
                <w:b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75B" w:rsidRPr="0024398B" w:rsidRDefault="00B70721" w:rsidP="0024398B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teljesen kihasznált</w:t>
            </w:r>
          </w:p>
        </w:tc>
      </w:tr>
    </w:tbl>
    <w:p w:rsidR="0005775B" w:rsidRDefault="0005775B" w:rsidP="0005775B">
      <w:pPr>
        <w:jc w:val="both"/>
      </w:pPr>
    </w:p>
    <w:p w:rsidR="0024398B" w:rsidRDefault="0024398B" w:rsidP="009E0CAA">
      <w:pPr>
        <w:jc w:val="both"/>
      </w:pPr>
    </w:p>
    <w:p w:rsidR="00D6255E" w:rsidRDefault="00D6255E" w:rsidP="009E0CAA">
      <w:pPr>
        <w:jc w:val="both"/>
      </w:pPr>
      <w:r>
        <w:rPr>
          <w:noProof/>
          <w:lang w:eastAsia="hu-HU"/>
        </w:rPr>
        <w:drawing>
          <wp:inline distT="0" distB="0" distL="0" distR="0" wp14:anchorId="33B42510" wp14:editId="20FE9561">
            <wp:extent cx="5819775" cy="30289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398B" w:rsidRDefault="0024398B" w:rsidP="0024398B">
      <w:pPr>
        <w:jc w:val="both"/>
      </w:pPr>
      <w:r>
        <w:t>Óraszámok tekintetében csökkenést tapasztalhatunk a vizsgált időszakban: az átlag óraszámok 54,01-ről 48 órára, a maximális óraszámok 68,31-ről 57,71 órára csökkentek.</w:t>
      </w:r>
    </w:p>
    <w:p w:rsidR="0024398B" w:rsidRDefault="0024398B" w:rsidP="009E0CAA">
      <w:pPr>
        <w:jc w:val="both"/>
      </w:pPr>
    </w:p>
    <w:p w:rsidR="00E40A3A" w:rsidRDefault="00E40A3A" w:rsidP="009E0CAA">
      <w:pPr>
        <w:jc w:val="both"/>
      </w:pPr>
      <w:r>
        <w:rPr>
          <w:noProof/>
          <w:lang w:eastAsia="hu-HU"/>
        </w:rPr>
        <w:drawing>
          <wp:inline distT="0" distB="0" distL="0" distR="0" wp14:anchorId="61B5776A" wp14:editId="09B2FACC">
            <wp:extent cx="5829300" cy="21621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398B" w:rsidRDefault="0024398B" w:rsidP="009E0CAA">
      <w:pPr>
        <w:jc w:val="both"/>
      </w:pPr>
    </w:p>
    <w:p w:rsidR="0024398B" w:rsidRPr="008708FA" w:rsidRDefault="0024398B" w:rsidP="009E0CAA">
      <w:pPr>
        <w:jc w:val="both"/>
        <w:rPr>
          <w:b/>
        </w:rPr>
      </w:pPr>
      <w:r w:rsidRPr="008708FA">
        <w:rPr>
          <w:b/>
        </w:rPr>
        <w:lastRenderedPageBreak/>
        <w:t>C épület</w:t>
      </w:r>
    </w:p>
    <w:p w:rsidR="0024398B" w:rsidRDefault="008708FA" w:rsidP="009E0CAA">
      <w:pPr>
        <w:jc w:val="both"/>
      </w:pPr>
      <w:r>
        <w:t xml:space="preserve">Az </w:t>
      </w:r>
      <w:r w:rsidR="0024398B">
        <w:t>informatika</w:t>
      </w:r>
      <w:r>
        <w:t xml:space="preserve"> és a matematika</w:t>
      </w:r>
      <w:r w:rsidR="0024398B">
        <w:t xml:space="preserve"> oktatás</w:t>
      </w:r>
      <w:r>
        <w:t xml:space="preserve">ának </w:t>
      </w:r>
      <w:r w:rsidR="00B202FB">
        <w:t xml:space="preserve">és a Leányka úti </w:t>
      </w:r>
      <w:r w:rsidR="00AB3792">
        <w:t>kampusz</w:t>
      </w:r>
      <w:r w:rsidR="00B202FB">
        <w:t xml:space="preserve">nak is a </w:t>
      </w:r>
      <w:r>
        <w:t>központja</w:t>
      </w:r>
      <w:r w:rsidR="0024398B">
        <w:t xml:space="preserve">, C* néven </w:t>
      </w:r>
      <w:r>
        <w:t xml:space="preserve">2016-tól 4 új teremmel </w:t>
      </w:r>
      <w:r w:rsidR="008912F3">
        <w:t xml:space="preserve">is </w:t>
      </w:r>
      <w:r>
        <w:t>bővült az épület, így már összesen 19 teremben zajlik oktatás</w:t>
      </w:r>
      <w:r w:rsidR="000C0A77">
        <w:t>, ebből 7 tanterem kifejezetten számítógépes terem</w:t>
      </w:r>
      <w:r>
        <w:t>.</w:t>
      </w:r>
      <w:r w:rsidR="009C4C8B">
        <w:t xml:space="preserve"> A 6 féléves </w:t>
      </w:r>
      <w:r w:rsidR="009C68FE">
        <w:t>maximum kihasználtság átlaga 84,65%-</w:t>
      </w:r>
      <w:proofErr w:type="spellStart"/>
      <w:r w:rsidR="009C68FE">
        <w:t>os</w:t>
      </w:r>
      <w:proofErr w:type="spellEnd"/>
      <w:r w:rsidR="009C68FE">
        <w:t xml:space="preserve">, az </w:t>
      </w:r>
      <w:r w:rsidR="009C4C8B">
        <w:t xml:space="preserve">átlagkihasználtság az egész épület </w:t>
      </w:r>
      <w:r>
        <w:t>tekintetében</w:t>
      </w:r>
      <w:r w:rsidR="009C4C8B">
        <w:t xml:space="preserve"> 46,62%-</w:t>
      </w:r>
      <w:proofErr w:type="spellStart"/>
      <w:r w:rsidR="009C4C8B">
        <w:t>os</w:t>
      </w:r>
      <w:proofErr w:type="spellEnd"/>
      <w:r w:rsidR="00B70721">
        <w:t xml:space="preserve"> (közepesen kihasznált)</w:t>
      </w:r>
      <w:r w:rsidR="009C4C8B">
        <w:t>,</w:t>
      </w:r>
      <w:r>
        <w:t xml:space="preserve"> a 108-as előadó a </w:t>
      </w:r>
      <w:proofErr w:type="spellStart"/>
      <w:r>
        <w:t>legkihasználtabb</w:t>
      </w:r>
      <w:proofErr w:type="spellEnd"/>
      <w:r>
        <w:t xml:space="preserve"> 73,50%-</w:t>
      </w:r>
      <w:proofErr w:type="spellStart"/>
      <w:r>
        <w:t>kal</w:t>
      </w:r>
      <w:proofErr w:type="spellEnd"/>
      <w:r>
        <w:t>, a legcsekélyebb óraszám pedig a C*2-es termében van, mely mindössze 6% (bár itt csak a 2016/17/2 félévben voltak órák</w:t>
      </w:r>
      <w:r w:rsidR="000C0A77">
        <w:t>, ill. arról van adat)!</w:t>
      </w:r>
      <w:r w:rsidR="0067177A">
        <w:t xml:space="preserve"> Az átlagot természetesen rontja, hogy az új oktatótermek nem üzemeltek mind a 6 féléven keresztül, de a működésük 3 féléve alat</w:t>
      </w:r>
      <w:r w:rsidR="00CC4AFB">
        <w:t>t is a legjobb kihasználtság 59,94% volt (C* 5 terem). A C*2-es termének egyetlen oktatással töltött félévében is 36,01%-</w:t>
      </w:r>
      <w:proofErr w:type="spellStart"/>
      <w:r w:rsidR="00CC4AFB">
        <w:t>os</w:t>
      </w:r>
      <w:proofErr w:type="spellEnd"/>
      <w:r w:rsidR="00CC4AFB">
        <w:t xml:space="preserve"> volt a kihasználtsága (a szerdai napokon volt 66,67%).</w:t>
      </w:r>
      <w:r w:rsidR="00714984">
        <w:t xml:space="preserve"> Az új termek közül a *1-es terem teljesít a legjobban: 22,13%-</w:t>
      </w:r>
      <w:proofErr w:type="spellStart"/>
      <w:r w:rsidR="00714984">
        <w:t>kal</w:t>
      </w:r>
      <w:proofErr w:type="spellEnd"/>
      <w:r w:rsidR="00714984">
        <w:t>, majd a C*4 (18,97%), és a C*5 (18,26%) – mely csak a teljesen kihasználatlan kategóriánkba fér bele. K</w:t>
      </w:r>
      <w:r w:rsidR="00745A97">
        <w:t>özepesen k</w:t>
      </w:r>
      <w:r w:rsidR="00714984">
        <w:t>iha</w:t>
      </w:r>
      <w:r w:rsidR="00745A97">
        <w:t>s</w:t>
      </w:r>
      <w:r w:rsidR="00714984">
        <w:t>znál</w:t>
      </w:r>
      <w:r w:rsidR="00745A97">
        <w:t>tnak tekinthetünk</w:t>
      </w:r>
      <w:r w:rsidR="008912F3">
        <w:t xml:space="preserve"> 10</w:t>
      </w:r>
      <w:r w:rsidR="00987BB2">
        <w:t xml:space="preserve"> termet (mely</w:t>
      </w:r>
      <w:r w:rsidR="008912F3">
        <w:t xml:space="preserve"> az épület oktatási termeinek 52</w:t>
      </w:r>
      <w:r w:rsidR="00987BB2">
        <w:t>%-a), kihasználtnak pedig mind</w:t>
      </w:r>
      <w:r w:rsidR="00296B03">
        <w:t>össze 5 db-ot (a termek 26%-át), itt teljesen kihasznált termet nem találunk.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552"/>
      </w:tblGrid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5B9BD5" w:themeFill="accent1"/>
            <w:noWrap/>
            <w:vAlign w:val="bottom"/>
          </w:tcPr>
          <w:p w:rsidR="0005775B" w:rsidRPr="000C0A77" w:rsidRDefault="0005775B" w:rsidP="00671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C épület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,</w:t>
            </w:r>
            <w:r w:rsidRPr="000C0A7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 xml:space="preserve"> terem száma</w:t>
            </w:r>
          </w:p>
        </w:tc>
        <w:tc>
          <w:tcPr>
            <w:tcW w:w="2552" w:type="dxa"/>
            <w:shd w:val="clear" w:color="auto" w:fill="5B9BD5" w:themeFill="accent1"/>
          </w:tcPr>
          <w:p w:rsidR="0005775B" w:rsidRPr="00987BB2" w:rsidRDefault="0005775B" w:rsidP="00671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 w:rsidRPr="00987BB2">
              <w:rPr>
                <w:rFonts w:ascii="Calibri" w:eastAsia="Times New Roman" w:hAnsi="Calibri" w:cs="Times New Roman"/>
                <w:b/>
                <w:lang w:eastAsia="hu-HU"/>
              </w:rPr>
              <w:t>Átlagos kihasználtsága</w:t>
            </w:r>
          </w:p>
        </w:tc>
        <w:tc>
          <w:tcPr>
            <w:tcW w:w="2552" w:type="dxa"/>
            <w:shd w:val="clear" w:color="auto" w:fill="5B9BD5" w:themeFill="accent1"/>
          </w:tcPr>
          <w:p w:rsidR="0005775B" w:rsidRPr="00987BB2" w:rsidRDefault="00B202FB" w:rsidP="00671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lang w:eastAsia="hu-HU"/>
              </w:rPr>
              <w:t xml:space="preserve">Kihasználtság </w:t>
            </w:r>
            <w:r w:rsidR="00E41113">
              <w:rPr>
                <w:rFonts w:ascii="Calibri" w:eastAsia="Times New Roman" w:hAnsi="Calibri" w:cs="Times New Roman"/>
                <w:b/>
                <w:lang w:eastAsia="hu-HU"/>
              </w:rPr>
              <w:t>kategóriája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*.1.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22,13%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kihasználatlan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833C0B" w:themeFill="accent2" w:themeFillShade="80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*.2.</w:t>
            </w:r>
          </w:p>
        </w:tc>
        <w:tc>
          <w:tcPr>
            <w:tcW w:w="2552" w:type="dxa"/>
            <w:shd w:val="clear" w:color="auto" w:fill="833C0B" w:themeFill="accent2" w:themeFillShade="80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6,00%</w:t>
            </w:r>
          </w:p>
        </w:tc>
        <w:tc>
          <w:tcPr>
            <w:tcW w:w="2552" w:type="dxa"/>
            <w:shd w:val="clear" w:color="auto" w:fill="833C0B" w:themeFill="accent2" w:themeFillShade="80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teljesen kihasználatlan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4B083" w:themeFill="accent2" w:themeFillTint="99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*.4.</w:t>
            </w:r>
          </w:p>
        </w:tc>
        <w:tc>
          <w:tcPr>
            <w:tcW w:w="2552" w:type="dxa"/>
            <w:shd w:val="clear" w:color="auto" w:fill="F4B083" w:themeFill="accent2" w:themeFillTint="99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18,97%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teljesen kihasználatlan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C45911" w:themeFill="accent2" w:themeFillShade="BF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*.5.</w:t>
            </w:r>
          </w:p>
        </w:tc>
        <w:tc>
          <w:tcPr>
            <w:tcW w:w="2552" w:type="dxa"/>
            <w:shd w:val="clear" w:color="auto" w:fill="C45911" w:themeFill="accent2" w:themeFillShade="BF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18,26%</w:t>
            </w:r>
          </w:p>
        </w:tc>
        <w:tc>
          <w:tcPr>
            <w:tcW w:w="2552" w:type="dxa"/>
            <w:shd w:val="clear" w:color="auto" w:fill="C45911" w:themeFill="accent2" w:themeFillShade="BF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teljesen kihasználatlan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538135" w:themeFill="accent6" w:themeFillShade="BF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I.104</w:t>
            </w:r>
          </w:p>
        </w:tc>
        <w:tc>
          <w:tcPr>
            <w:tcW w:w="2552" w:type="dxa"/>
            <w:shd w:val="clear" w:color="auto" w:fill="538135" w:themeFill="accent6" w:themeFillShade="BF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69,17%</w:t>
            </w:r>
          </w:p>
        </w:tc>
        <w:tc>
          <w:tcPr>
            <w:tcW w:w="2552" w:type="dxa"/>
            <w:shd w:val="clear" w:color="auto" w:fill="538135" w:themeFill="accent6" w:themeFillShade="BF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A8D08D" w:themeFill="accent6" w:themeFillTint="99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I.105</w:t>
            </w:r>
          </w:p>
        </w:tc>
        <w:tc>
          <w:tcPr>
            <w:tcW w:w="2552" w:type="dxa"/>
            <w:shd w:val="clear" w:color="auto" w:fill="A8D08D" w:themeFill="accent6" w:themeFillTint="99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68,22%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I.106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56,46%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385623" w:themeFill="accent6" w:themeFillShade="80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I.108</w:t>
            </w:r>
          </w:p>
        </w:tc>
        <w:tc>
          <w:tcPr>
            <w:tcW w:w="2552" w:type="dxa"/>
            <w:shd w:val="clear" w:color="auto" w:fill="385623" w:themeFill="accent6" w:themeFillShade="80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73,50%</w:t>
            </w:r>
          </w:p>
        </w:tc>
        <w:tc>
          <w:tcPr>
            <w:tcW w:w="2552" w:type="dxa"/>
            <w:shd w:val="clear" w:color="auto" w:fill="385623" w:themeFill="accent6" w:themeFillShade="80"/>
          </w:tcPr>
          <w:p w:rsidR="0005775B" w:rsidRPr="00987BB2" w:rsidRDefault="00B70721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I.109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41,28%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I.110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46,34%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I.111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40,45%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I.119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54,25%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I.121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51,89%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I.124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61,61%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II.203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60,39%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II.204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49,00%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II.205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42,31%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II.206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49,80%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0C0A77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  <w:hideMark/>
          </w:tcPr>
          <w:p w:rsidR="0005775B" w:rsidRPr="000C0A77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E</w:t>
            </w:r>
            <w:proofErr w:type="gramStart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.C.</w:t>
            </w:r>
            <w:proofErr w:type="gramEnd"/>
            <w:r w:rsidRPr="000C0A77">
              <w:rPr>
                <w:rFonts w:ascii="Calibri" w:eastAsia="Times New Roman" w:hAnsi="Calibri" w:cs="Times New Roman"/>
                <w:color w:val="000000"/>
                <w:lang w:eastAsia="hu-HU"/>
              </w:rPr>
              <w:t>II.208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 w:rsidRPr="00987BB2">
              <w:rPr>
                <w:rFonts w:ascii="Calibri" w:hAnsi="Calibri"/>
              </w:rPr>
              <w:t>55,78%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987BB2" w:rsidRDefault="0005775B" w:rsidP="0067177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közepesen kihasznált</w:t>
            </w:r>
          </w:p>
        </w:tc>
      </w:tr>
      <w:tr w:rsidR="0005775B" w:rsidRPr="00853D59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</w:tcPr>
          <w:p w:rsidR="0005775B" w:rsidRPr="00853D59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53D5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853D59" w:rsidRDefault="0005775B" w:rsidP="0067177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53D59">
              <w:rPr>
                <w:rFonts w:ascii="Calibri" w:hAnsi="Calibri"/>
                <w:b/>
              </w:rPr>
              <w:t>46,62%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884C62" w:rsidRDefault="00884C62" w:rsidP="0067177A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84C62">
              <w:rPr>
                <w:rFonts w:ascii="Calibri" w:hAnsi="Calibri"/>
                <w:b/>
              </w:rPr>
              <w:t>közepesen kihasznált</w:t>
            </w:r>
          </w:p>
        </w:tc>
      </w:tr>
      <w:tr w:rsidR="0005775B" w:rsidRPr="00853D59" w:rsidTr="0005775B">
        <w:trPr>
          <w:trHeight w:val="300"/>
          <w:jc w:val="center"/>
        </w:trPr>
        <w:tc>
          <w:tcPr>
            <w:tcW w:w="2830" w:type="dxa"/>
            <w:shd w:val="clear" w:color="auto" w:fill="FFFFFF" w:themeFill="background1"/>
            <w:noWrap/>
            <w:vAlign w:val="bottom"/>
          </w:tcPr>
          <w:p w:rsidR="0005775B" w:rsidRPr="00853D59" w:rsidRDefault="0005775B" w:rsidP="006717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853D59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5775B" w:rsidRPr="00853D59" w:rsidRDefault="00B70721" w:rsidP="0067177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84,65</w:t>
            </w:r>
            <w:r w:rsidR="0005775B" w:rsidRPr="00853D59">
              <w:rPr>
                <w:rFonts w:ascii="Calibri" w:hAnsi="Calibri"/>
                <w:b/>
              </w:rPr>
              <w:t>%</w:t>
            </w:r>
          </w:p>
        </w:tc>
        <w:tc>
          <w:tcPr>
            <w:tcW w:w="2552" w:type="dxa"/>
            <w:shd w:val="clear" w:color="auto" w:fill="FFFFFF" w:themeFill="background1"/>
          </w:tcPr>
          <w:p w:rsidR="0005775B" w:rsidRPr="00853D59" w:rsidRDefault="00B70721" w:rsidP="0067177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teljesen kihasznált</w:t>
            </w:r>
          </w:p>
        </w:tc>
      </w:tr>
    </w:tbl>
    <w:p w:rsidR="00B202FB" w:rsidRDefault="00B202FB" w:rsidP="009E0CAA">
      <w:pPr>
        <w:jc w:val="both"/>
      </w:pPr>
    </w:p>
    <w:p w:rsidR="00B1662B" w:rsidRDefault="005E7D56" w:rsidP="009E0CAA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324C1D0E" wp14:editId="2D037DBA">
            <wp:extent cx="5981700" cy="3238500"/>
            <wp:effectExtent l="0" t="0" r="0" b="0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C0A77" w:rsidRDefault="000C0A77" w:rsidP="009E0CAA">
      <w:pPr>
        <w:jc w:val="both"/>
      </w:pPr>
    </w:p>
    <w:p w:rsidR="00B1662B" w:rsidRDefault="00B1662B" w:rsidP="009E0CAA">
      <w:pPr>
        <w:jc w:val="both"/>
      </w:pPr>
    </w:p>
    <w:p w:rsidR="00591C4A" w:rsidRDefault="00591C4A" w:rsidP="009E0CAA">
      <w:pPr>
        <w:jc w:val="both"/>
      </w:pPr>
      <w:r>
        <w:rPr>
          <w:noProof/>
          <w:lang w:eastAsia="hu-HU"/>
        </w:rPr>
        <w:drawing>
          <wp:inline distT="0" distB="0" distL="0" distR="0" wp14:anchorId="79FB01AA" wp14:editId="2D7BC055">
            <wp:extent cx="5991225" cy="2819400"/>
            <wp:effectExtent l="0" t="0" r="9525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02FB" w:rsidRPr="00B1662B" w:rsidRDefault="00B202FB" w:rsidP="009E0CAA">
      <w:pPr>
        <w:jc w:val="both"/>
        <w:rPr>
          <w:b/>
        </w:rPr>
      </w:pPr>
      <w:r w:rsidRPr="00B1662B">
        <w:rPr>
          <w:b/>
        </w:rPr>
        <w:t>D épület</w:t>
      </w:r>
    </w:p>
    <w:p w:rsidR="00B202FB" w:rsidRDefault="00B202FB" w:rsidP="00B202FB">
      <w:pPr>
        <w:jc w:val="both"/>
      </w:pPr>
      <w:r>
        <w:t xml:space="preserve">A természettudományos szakok oktatásának központi épülete a D épület, mely 12 oktatótermet foglal magában, helyileg a Leányka úti </w:t>
      </w:r>
      <w:r w:rsidR="00AB3792">
        <w:t>Campus</w:t>
      </w:r>
      <w:r>
        <w:t>on található. A 6 féléves átlagkihasználtság az egész épület tekintetében 44,12%-</w:t>
      </w:r>
      <w:proofErr w:type="spellStart"/>
      <w:r>
        <w:t>os</w:t>
      </w:r>
      <w:proofErr w:type="spellEnd"/>
      <w:r w:rsidR="00B1662B">
        <w:t xml:space="preserve"> – közepesen kihasznált kategória</w:t>
      </w:r>
      <w:r w:rsidR="00B70721">
        <w:t xml:space="preserve">, a </w:t>
      </w:r>
      <w:r w:rsidR="00D82717">
        <w:t>maximális kihasználtság 79,36</w:t>
      </w:r>
      <w:r w:rsidR="00B70721">
        <w:t>%-</w:t>
      </w:r>
      <w:proofErr w:type="spellStart"/>
      <w:r w:rsidR="00B70721">
        <w:t>os</w:t>
      </w:r>
      <w:proofErr w:type="spellEnd"/>
      <w:r w:rsidR="00D82717">
        <w:t xml:space="preserve"> (kihasznált)</w:t>
      </w:r>
      <w:r w:rsidR="00B1662B">
        <w:t>. A</w:t>
      </w:r>
      <w:r>
        <w:t xml:space="preserve"> </w:t>
      </w:r>
      <w:proofErr w:type="spellStart"/>
      <w:r>
        <w:t>legkihasználtabb</w:t>
      </w:r>
      <w:proofErr w:type="spellEnd"/>
      <w:r>
        <w:t xml:space="preserve"> a 231-es előadó 73,79%-</w:t>
      </w:r>
      <w:proofErr w:type="spellStart"/>
      <w:r>
        <w:t>kal</w:t>
      </w:r>
      <w:proofErr w:type="spellEnd"/>
      <w:r>
        <w:t>, a legcsekélyebb óraszám pedig a 323-as teremben van, így 18,47%-</w:t>
      </w:r>
      <w:proofErr w:type="spellStart"/>
      <w:r>
        <w:t>os</w:t>
      </w:r>
      <w:proofErr w:type="spellEnd"/>
      <w:r>
        <w:t xml:space="preserve"> kihasználtsággal.</w:t>
      </w:r>
      <w:r w:rsidR="00B1662B">
        <w:t xml:space="preserve"> Kategóriánként: 1 db teljesen kihasználatlan, 5 db kihasználatlan, 3 db közepesen kihasznált, 3 db kihasznált oktatóterem.</w:t>
      </w:r>
      <w:r w:rsidR="00F47023">
        <w:t xml:space="preserve"> Látható a tendencia az átlagos és a maximális kihasználtság nagyjából 5-5%-</w:t>
      </w:r>
      <w:proofErr w:type="spellStart"/>
      <w:r w:rsidR="00F47023">
        <w:t>os</w:t>
      </w:r>
      <w:proofErr w:type="spellEnd"/>
      <w:r w:rsidR="00F47023">
        <w:t xml:space="preserve"> csökkenésében is a vizsgált félévek során</w:t>
      </w:r>
      <w:r w:rsidR="002736EB">
        <w:t>, mely az óraszámok csökkenésével arányos.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B202FB" w:rsidRPr="00B1662B" w:rsidTr="00A374FA">
        <w:trPr>
          <w:trHeight w:val="300"/>
          <w:jc w:val="center"/>
        </w:trPr>
        <w:tc>
          <w:tcPr>
            <w:tcW w:w="2830" w:type="dxa"/>
            <w:shd w:val="clear" w:color="auto" w:fill="5B9BD5" w:themeFill="accent1"/>
            <w:noWrap/>
            <w:vAlign w:val="bottom"/>
          </w:tcPr>
          <w:p w:rsidR="00B202FB" w:rsidRPr="00B1662B" w:rsidRDefault="00B202F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 xml:space="preserve">D épület, terem </w:t>
            </w:r>
            <w:r w:rsidR="00B1662B"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száma</w:t>
            </w:r>
          </w:p>
        </w:tc>
        <w:tc>
          <w:tcPr>
            <w:tcW w:w="2410" w:type="dxa"/>
            <w:shd w:val="clear" w:color="auto" w:fill="5B9BD5" w:themeFill="accent1"/>
          </w:tcPr>
          <w:p w:rsidR="00B202FB" w:rsidRPr="00B1662B" w:rsidRDefault="00B202F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Átlagos kihasználtsága</w:t>
            </w:r>
          </w:p>
        </w:tc>
        <w:tc>
          <w:tcPr>
            <w:tcW w:w="2552" w:type="dxa"/>
            <w:shd w:val="clear" w:color="auto" w:fill="5B9BD5" w:themeFill="accent1"/>
          </w:tcPr>
          <w:p w:rsidR="00B202FB" w:rsidRPr="00B1662B" w:rsidRDefault="00E41113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Kihasználtság kategóriája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8D08D" w:themeFill="accent6" w:themeFillTint="99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D.FSZ.117</w:t>
            </w:r>
          </w:p>
        </w:tc>
        <w:tc>
          <w:tcPr>
            <w:tcW w:w="2410" w:type="dxa"/>
            <w:shd w:val="clear" w:color="auto" w:fill="A8D08D" w:themeFill="accent6" w:themeFillTint="99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60,25%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kihasznált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F4B083" w:themeFill="accent2" w:themeFillTint="99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D.I.114/B</w:t>
            </w:r>
          </w:p>
        </w:tc>
        <w:tc>
          <w:tcPr>
            <w:tcW w:w="2410" w:type="dxa"/>
            <w:shd w:val="clear" w:color="auto" w:fill="F4B083" w:themeFill="accent2" w:themeFillTint="99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21,26%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kihasználatlan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D.I.226/A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43,07%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közepesen kihasznált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D.I.226/B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38,17%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kihasználatlan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538135" w:themeFill="accent6" w:themeFillShade="BF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D.I.227</w:t>
            </w:r>
          </w:p>
        </w:tc>
        <w:tc>
          <w:tcPr>
            <w:tcW w:w="2410" w:type="dxa"/>
            <w:shd w:val="clear" w:color="auto" w:fill="538135" w:themeFill="accent6" w:themeFillShade="BF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61,99%</w:t>
            </w:r>
          </w:p>
        </w:tc>
        <w:tc>
          <w:tcPr>
            <w:tcW w:w="2552" w:type="dxa"/>
            <w:shd w:val="clear" w:color="auto" w:fill="538135" w:themeFill="accent6" w:themeFillShade="BF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kihasznált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385623" w:themeFill="accent6" w:themeFillShade="80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D.I.231</w:t>
            </w:r>
          </w:p>
        </w:tc>
        <w:tc>
          <w:tcPr>
            <w:tcW w:w="2410" w:type="dxa"/>
            <w:shd w:val="clear" w:color="auto" w:fill="385623" w:themeFill="accent6" w:themeFillShade="80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73,79%</w:t>
            </w:r>
          </w:p>
        </w:tc>
        <w:tc>
          <w:tcPr>
            <w:tcW w:w="2552" w:type="dxa"/>
            <w:shd w:val="clear" w:color="auto" w:fill="385623" w:themeFill="accent6" w:themeFillShade="80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kihasznált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D.II.315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46,38%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közepesen kihasznált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D.II.316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55,16%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közepesen kihasznált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D.II.322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38,29%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kihasználatlan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C45911" w:themeFill="accent2" w:themeFillShade="BF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D.II.323</w:t>
            </w:r>
          </w:p>
        </w:tc>
        <w:tc>
          <w:tcPr>
            <w:tcW w:w="2410" w:type="dxa"/>
            <w:shd w:val="clear" w:color="auto" w:fill="C45911" w:themeFill="accent2" w:themeFillShade="BF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18,47%</w:t>
            </w:r>
          </w:p>
        </w:tc>
        <w:tc>
          <w:tcPr>
            <w:tcW w:w="2552" w:type="dxa"/>
            <w:shd w:val="clear" w:color="auto" w:fill="C45911" w:themeFill="accent2" w:themeFillShade="BF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teljesen kihasználatlan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F7CAAC" w:themeFill="accent2" w:themeFillTint="66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D.III.408</w:t>
            </w:r>
          </w:p>
        </w:tc>
        <w:tc>
          <w:tcPr>
            <w:tcW w:w="2410" w:type="dxa"/>
            <w:shd w:val="clear" w:color="auto" w:fill="F7CAAC" w:themeFill="accent2" w:themeFillTint="66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32,91%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kihasználatlan</w:t>
            </w:r>
          </w:p>
        </w:tc>
      </w:tr>
      <w:tr w:rsidR="00B1662B" w:rsidRPr="00B202F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B1662B" w:rsidRPr="00B202F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202FB">
              <w:rPr>
                <w:rFonts w:ascii="Calibri" w:eastAsia="Times New Roman" w:hAnsi="Calibri" w:cs="Calibri"/>
                <w:color w:val="000000"/>
                <w:lang w:eastAsia="hu-HU"/>
              </w:rPr>
              <w:t>D.III.409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</w:rPr>
            </w:pPr>
            <w:r w:rsidRPr="00B1662B">
              <w:rPr>
                <w:rFonts w:ascii="Calibri" w:hAnsi="Calibri" w:cs="Calibri"/>
              </w:rPr>
              <w:t>39,65%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1662B">
              <w:t>kihasználatlan</w:t>
            </w:r>
          </w:p>
        </w:tc>
      </w:tr>
      <w:tr w:rsidR="00B1662B" w:rsidRPr="00B1662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662B" w:rsidRPr="00B1662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410" w:type="dxa"/>
            <w:vAlign w:val="bottom"/>
          </w:tcPr>
          <w:p w:rsidR="00B1662B" w:rsidRPr="00B1662B" w:rsidRDefault="00B1662B" w:rsidP="00B166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B1662B">
              <w:rPr>
                <w:rFonts w:ascii="Calibri" w:hAnsi="Calibri" w:cs="Calibri"/>
                <w:b/>
              </w:rPr>
              <w:t>44,12%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b/>
              </w:rPr>
            </w:pPr>
            <w:r w:rsidRPr="00B1662B">
              <w:rPr>
                <w:b/>
              </w:rPr>
              <w:t>közepesen kihasznált</w:t>
            </w:r>
          </w:p>
        </w:tc>
      </w:tr>
      <w:tr w:rsidR="00B1662B" w:rsidRPr="00B1662B" w:rsidTr="00A374FA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:rsidR="00B1662B" w:rsidRPr="00B1662B" w:rsidRDefault="00B1662B" w:rsidP="00B16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2410" w:type="dxa"/>
            <w:vAlign w:val="bottom"/>
          </w:tcPr>
          <w:p w:rsidR="00B1662B" w:rsidRPr="00B1662B" w:rsidRDefault="00D82717" w:rsidP="00B1662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79,36</w:t>
            </w:r>
            <w:r w:rsidR="00B1662B" w:rsidRPr="00B1662B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2552" w:type="dxa"/>
          </w:tcPr>
          <w:p w:rsidR="00B1662B" w:rsidRPr="00B1662B" w:rsidRDefault="00B1662B" w:rsidP="00B1662B">
            <w:pPr>
              <w:spacing w:after="0" w:line="240" w:lineRule="auto"/>
              <w:jc w:val="center"/>
              <w:rPr>
                <w:b/>
              </w:rPr>
            </w:pPr>
            <w:r w:rsidRPr="00B1662B">
              <w:rPr>
                <w:b/>
              </w:rPr>
              <w:t>kihasznált</w:t>
            </w:r>
          </w:p>
        </w:tc>
      </w:tr>
    </w:tbl>
    <w:p w:rsidR="00BA6428" w:rsidRDefault="00BA6428" w:rsidP="00B202FB">
      <w:pPr>
        <w:jc w:val="both"/>
      </w:pPr>
    </w:p>
    <w:p w:rsidR="00BA6428" w:rsidRDefault="00BA6428" w:rsidP="00B202FB">
      <w:pPr>
        <w:jc w:val="both"/>
      </w:pPr>
    </w:p>
    <w:p w:rsidR="00B202FB" w:rsidRDefault="00B202FB" w:rsidP="00B202FB">
      <w:pPr>
        <w:jc w:val="both"/>
      </w:pPr>
    </w:p>
    <w:p w:rsidR="00B70721" w:rsidRDefault="00B70721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7F8E542B" wp14:editId="123FE6EA">
            <wp:extent cx="5781675" cy="2924175"/>
            <wp:effectExtent l="0" t="0" r="9525" b="9525"/>
            <wp:docPr id="31" name="Diagram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7023" w:rsidRDefault="00F47023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388A6B10" wp14:editId="313A064D">
            <wp:extent cx="5638800" cy="1914525"/>
            <wp:effectExtent l="0" t="0" r="0" b="9525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736EB" w:rsidRDefault="002736EB" w:rsidP="00B202FB">
      <w:pPr>
        <w:jc w:val="both"/>
      </w:pPr>
    </w:p>
    <w:p w:rsidR="002736EB" w:rsidRDefault="00BA6428" w:rsidP="00B202FB">
      <w:pPr>
        <w:jc w:val="both"/>
        <w:rPr>
          <w:b/>
        </w:rPr>
      </w:pPr>
      <w:r w:rsidRPr="00BA6428">
        <w:rPr>
          <w:b/>
        </w:rPr>
        <w:t>E épület</w:t>
      </w:r>
    </w:p>
    <w:p w:rsidR="00EF1BD5" w:rsidRDefault="00BA6428" w:rsidP="00B202FB">
      <w:pPr>
        <w:jc w:val="both"/>
      </w:pPr>
      <w:r w:rsidRPr="00BA6428">
        <w:t>A Sporttudományi Intézet</w:t>
      </w:r>
      <w:r>
        <w:t xml:space="preserve"> épületegyüttese</w:t>
      </w:r>
      <w:r w:rsidR="005A67F8">
        <w:t xml:space="preserve"> (szintén a Leányka úti </w:t>
      </w:r>
      <w:r w:rsidR="00AB3792">
        <w:t>Campus</w:t>
      </w:r>
      <w:r w:rsidR="005A67F8">
        <w:t>on található)</w:t>
      </w:r>
      <w:r>
        <w:t>, mely főleg a sportszakos hallgatókat szolgálja ki, de idejönnek a kötelező testnevelés óráira is a diákok. Az épületben 17 oktatási helyiséget tartunk nyilván, melyek egy része tanterem, másik része sport/gyakorló terem (torna, atlétika, fallabda, tenisz, stb.)</w:t>
      </w:r>
      <w:r w:rsidR="002D39D9">
        <w:t xml:space="preserve"> </w:t>
      </w:r>
      <w:r w:rsidR="00050AE2">
        <w:t xml:space="preserve">Az atlétikapálya, a teniszcsarnok és a fallabdapálya PPP konstrukcióban készült, </w:t>
      </w:r>
      <w:proofErr w:type="gramStart"/>
      <w:r w:rsidR="00050AE2" w:rsidRPr="00AB3792">
        <w:t>ezen</w:t>
      </w:r>
      <w:proofErr w:type="gramEnd"/>
      <w:r w:rsidR="00050AE2" w:rsidRPr="00AB3792">
        <w:t xml:space="preserve"> helyiségek használta limitált az egyetem számára. </w:t>
      </w:r>
    </w:p>
    <w:p w:rsidR="00EF1BD5" w:rsidRDefault="00EF1BD5" w:rsidP="00EF1BD5">
      <w:pPr>
        <w:jc w:val="both"/>
      </w:pPr>
      <w:r>
        <w:t>Az épület kihasználtsága az átlagok alapján 35,32%-</w:t>
      </w:r>
      <w:proofErr w:type="spellStart"/>
      <w:r>
        <w:t>os</w:t>
      </w:r>
      <w:proofErr w:type="spellEnd"/>
      <w:r>
        <w:t>, azaz kihasználatlan</w:t>
      </w:r>
      <w:r w:rsidR="000328AE">
        <w:t>,</w:t>
      </w:r>
      <w:r>
        <w:t xml:space="preserve"> maximális kihasználtság ese</w:t>
      </w:r>
      <w:r w:rsidR="000328AE">
        <w:t>tén (84,12%) esik a teljesen kihasznált kategóriába</w:t>
      </w:r>
      <w:r>
        <w:t>.</w:t>
      </w:r>
    </w:p>
    <w:p w:rsidR="00BA6428" w:rsidRDefault="002D39D9" w:rsidP="00B202FB">
      <w:pPr>
        <w:jc w:val="both"/>
      </w:pPr>
      <w:r>
        <w:t>A legtöbb óra a 25-ös teremben van (elmélet), itt a kihasználtság 68,83%-</w:t>
      </w:r>
      <w:proofErr w:type="spellStart"/>
      <w:r>
        <w:t>os</w:t>
      </w:r>
      <w:proofErr w:type="spellEnd"/>
      <w:r>
        <w:t xml:space="preserve">, a legkevesebb </w:t>
      </w:r>
      <w:r w:rsidRPr="00AB3792">
        <w:t>az atlétika pályán</w:t>
      </w:r>
      <w:r w:rsidRPr="00AE413D">
        <w:t xml:space="preserve"> </w:t>
      </w:r>
      <w:r>
        <w:t>(gyakorlat), ahol a kihasználtság mértéke 2,84%-</w:t>
      </w:r>
      <w:proofErr w:type="spellStart"/>
      <w:r>
        <w:t>os</w:t>
      </w:r>
      <w:proofErr w:type="spellEnd"/>
      <w:r>
        <w:t>.</w:t>
      </w:r>
      <w:r w:rsidR="00AE413D">
        <w:t xml:space="preserve"> A teljesen kihasználatlan kategóriába 7 db oktatási helyiség, a kihasználtalanba 3db, a közepesen kihasználtba 3 db, a kihasználtba 4 db tartozik bele. Az atlétika pályán 2015/16/2 félévében egyáltalán nem volt óratartás</w:t>
      </w:r>
      <w:r w:rsidR="0083750F">
        <w:t xml:space="preserve">, a pálya </w:t>
      </w:r>
      <w:proofErr w:type="spellStart"/>
      <w:r w:rsidR="0083750F">
        <w:t>kihasználtságbeli</w:t>
      </w:r>
      <w:proofErr w:type="spellEnd"/>
      <w:r w:rsidR="0083750F">
        <w:t xml:space="preserve"> legjobb féléve a 2016/2017/2 félév, ahol 8,33%-</w:t>
      </w:r>
      <w:proofErr w:type="spellStart"/>
      <w:r w:rsidR="0083750F">
        <w:t>os</w:t>
      </w:r>
      <w:proofErr w:type="spellEnd"/>
      <w:r w:rsidR="0083750F">
        <w:t xml:space="preserve"> volt az igénybevétele</w:t>
      </w:r>
      <w:r w:rsidR="00394ACB">
        <w:t>, melyet leginkább a levelezős hallgatókkal használnak (péntek, szombati lekötöttség)</w:t>
      </w:r>
      <w:r w:rsidR="0083750F">
        <w:t>.</w:t>
      </w:r>
      <w:r w:rsidR="00EE4B24">
        <w:t xml:space="preserve"> z első 3 leginkább kihasznált helyiségek közül csak a TORNA/A </w:t>
      </w:r>
      <w:proofErr w:type="spellStart"/>
      <w:r w:rsidR="00EE4B24">
        <w:t>a</w:t>
      </w:r>
      <w:proofErr w:type="spellEnd"/>
      <w:r w:rsidR="00EE4B24">
        <w:t xml:space="preserve"> gyakorlatra alkalmas terem (ritkán és nehezen használható megosztottan (TORNA/B)), a másik kettő előadóterem.</w:t>
      </w:r>
    </w:p>
    <w:p w:rsidR="00A07489" w:rsidRDefault="00A07489" w:rsidP="00B202FB">
      <w:pPr>
        <w:jc w:val="both"/>
      </w:pPr>
      <w:r>
        <w:t xml:space="preserve">Az óraszámok csökkenésével (átlagóraszámok 7,28 órával, a </w:t>
      </w:r>
      <w:proofErr w:type="spellStart"/>
      <w:r>
        <w:t>maxóraszámok</w:t>
      </w:r>
      <w:proofErr w:type="spellEnd"/>
      <w:r>
        <w:t xml:space="preserve"> </w:t>
      </w:r>
      <w:r w:rsidR="008739BE">
        <w:t xml:space="preserve">8,89 órával csökkentek 2015-18 között) </w:t>
      </w:r>
      <w:r>
        <w:t>megfigyelhető a kihasználtság mértékének csökkenése is.</w:t>
      </w:r>
      <w:r w:rsidR="00EF1BD5"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2E74B5" w:themeFill="accent1" w:themeFillShade="BF"/>
            <w:noWrap/>
            <w:vAlign w:val="bottom"/>
          </w:tcPr>
          <w:p w:rsidR="00BA6428" w:rsidRPr="00B1662B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</w:t>
            </w:r>
            <w:r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épület, terem száma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:rsidR="00BA6428" w:rsidRPr="00B1662B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1662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Átlagos kihasználtsága</w:t>
            </w:r>
          </w:p>
        </w:tc>
        <w:tc>
          <w:tcPr>
            <w:tcW w:w="3118" w:type="dxa"/>
            <w:shd w:val="clear" w:color="auto" w:fill="2E74B5" w:themeFill="accent1" w:themeFillShade="BF"/>
          </w:tcPr>
          <w:p w:rsidR="00BA6428" w:rsidRPr="00B1662B" w:rsidRDefault="00E41113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Kihasználtság kategóriája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C45911" w:themeFill="accent2" w:themeFillShade="BF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E.-.ATLA</w:t>
            </w:r>
          </w:p>
        </w:tc>
        <w:tc>
          <w:tcPr>
            <w:tcW w:w="3119" w:type="dxa"/>
            <w:shd w:val="clear" w:color="auto" w:fill="C45911" w:themeFill="accent2" w:themeFillShade="BF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2,84%</w:t>
            </w:r>
          </w:p>
        </w:tc>
        <w:tc>
          <w:tcPr>
            <w:tcW w:w="3118" w:type="dxa"/>
            <w:shd w:val="clear" w:color="auto" w:fill="C45911" w:themeFill="accent2" w:themeFillShade="BF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E.-.CSAR.113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17,93%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E.-.CSAR/A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61,81%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kihasznált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E.-.CSAR/B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42,18%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közepesen kihasznált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F4B083" w:themeFill="accent2" w:themeFillTint="99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E.-.CSAR/C</w:t>
            </w:r>
          </w:p>
        </w:tc>
        <w:tc>
          <w:tcPr>
            <w:tcW w:w="3119" w:type="dxa"/>
            <w:shd w:val="clear" w:color="auto" w:fill="F4B083" w:themeFill="accent2" w:themeFillTint="99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13,71%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F7CAAC" w:themeFill="accent2" w:themeFillTint="66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E.-.FALLABDA</w:t>
            </w:r>
          </w:p>
        </w:tc>
        <w:tc>
          <w:tcPr>
            <w:tcW w:w="3119" w:type="dxa"/>
            <w:shd w:val="clear" w:color="auto" w:fill="F7CAAC" w:themeFill="accent2" w:themeFillTint="66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14,41%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E.-.FÜGFO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36,97%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E.-.LBDA/B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18,23%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E.-.TANC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közepesen kihasznált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E.-.TENCSAR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14,63%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E.-.TOR/B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29,16%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538135" w:themeFill="accent6" w:themeFillShade="BF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E.-.TORN/A</w:t>
            </w:r>
          </w:p>
        </w:tc>
        <w:tc>
          <w:tcPr>
            <w:tcW w:w="3119" w:type="dxa"/>
            <w:shd w:val="clear" w:color="auto" w:fill="538135" w:themeFill="accent6" w:themeFillShade="BF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65,31%</w:t>
            </w:r>
          </w:p>
        </w:tc>
        <w:tc>
          <w:tcPr>
            <w:tcW w:w="3118" w:type="dxa"/>
            <w:shd w:val="clear" w:color="auto" w:fill="538135" w:themeFill="accent6" w:themeFillShade="BF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kihasznált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E</w:t>
            </w:r>
            <w:proofErr w:type="gramStart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.4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19,58%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teljesen 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385623" w:themeFill="accent6" w:themeFillShade="80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3119" w:type="dxa"/>
            <w:shd w:val="clear" w:color="auto" w:fill="385623" w:themeFill="accent6" w:themeFillShade="80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68,83%</w:t>
            </w:r>
          </w:p>
        </w:tc>
        <w:tc>
          <w:tcPr>
            <w:tcW w:w="3118" w:type="dxa"/>
            <w:shd w:val="clear" w:color="auto" w:fill="385623" w:themeFill="accent6" w:themeFillShade="80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kihasznált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31,66%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kihasználatlan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8D08D" w:themeFill="accent6" w:themeFillTint="99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3119" w:type="dxa"/>
            <w:shd w:val="clear" w:color="auto" w:fill="A8D08D" w:themeFill="accent6" w:themeFillTint="99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64,04%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kihasznált</w:t>
            </w:r>
          </w:p>
        </w:tc>
      </w:tr>
      <w:tr w:rsidR="00BA6428" w:rsidRPr="00BA6428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BA6428" w:rsidRPr="00BA6428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BA64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52 </w:t>
            </w:r>
          </w:p>
        </w:tc>
        <w:tc>
          <w:tcPr>
            <w:tcW w:w="3119" w:type="dxa"/>
            <w:vAlign w:val="bottom"/>
          </w:tcPr>
          <w:p w:rsidR="00BA6428" w:rsidRDefault="00BA6428" w:rsidP="00BA64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58,29%</w:t>
            </w:r>
          </w:p>
        </w:tc>
        <w:tc>
          <w:tcPr>
            <w:tcW w:w="3118" w:type="dxa"/>
            <w:shd w:val="clear" w:color="auto" w:fill="auto"/>
          </w:tcPr>
          <w:p w:rsidR="00BA6428" w:rsidRPr="00BA6428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BA6428">
              <w:t>közepesen kihasznált</w:t>
            </w:r>
          </w:p>
        </w:tc>
      </w:tr>
      <w:tr w:rsidR="00BA6428" w:rsidRPr="002D39D9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</w:tcPr>
          <w:p w:rsidR="00BA6428" w:rsidRPr="002D39D9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D39D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3119" w:type="dxa"/>
            <w:vAlign w:val="bottom"/>
          </w:tcPr>
          <w:p w:rsidR="00BA6428" w:rsidRPr="002D39D9" w:rsidRDefault="00BA6428" w:rsidP="00BA64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39D9">
              <w:rPr>
                <w:rFonts w:ascii="Calibri" w:hAnsi="Calibri" w:cs="Calibri"/>
                <w:b/>
                <w:color w:val="000000"/>
              </w:rPr>
              <w:t>35,32%</w:t>
            </w:r>
          </w:p>
        </w:tc>
        <w:tc>
          <w:tcPr>
            <w:tcW w:w="3118" w:type="dxa"/>
            <w:shd w:val="clear" w:color="auto" w:fill="auto"/>
          </w:tcPr>
          <w:p w:rsidR="00BA6428" w:rsidRPr="002D39D9" w:rsidRDefault="00BA6428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2D39D9">
              <w:rPr>
                <w:b/>
              </w:rPr>
              <w:t>kihasználatlan</w:t>
            </w:r>
          </w:p>
        </w:tc>
      </w:tr>
      <w:tr w:rsidR="00BA6428" w:rsidRPr="002D39D9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</w:tcPr>
          <w:p w:rsidR="00BA6428" w:rsidRPr="002D39D9" w:rsidRDefault="00BA6428" w:rsidP="00BA6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D39D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3119" w:type="dxa"/>
            <w:vAlign w:val="bottom"/>
          </w:tcPr>
          <w:p w:rsidR="00BA6428" w:rsidRPr="002D39D9" w:rsidRDefault="000328AE" w:rsidP="00BA64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84,12</w:t>
            </w:r>
            <w:r w:rsidR="00BA6428" w:rsidRPr="002D39D9">
              <w:rPr>
                <w:rFonts w:ascii="Calibri" w:hAnsi="Calibri" w:cs="Calibri"/>
                <w:b/>
                <w:color w:val="000000"/>
              </w:rPr>
              <w:t>%</w:t>
            </w:r>
          </w:p>
        </w:tc>
        <w:tc>
          <w:tcPr>
            <w:tcW w:w="3118" w:type="dxa"/>
            <w:shd w:val="clear" w:color="auto" w:fill="auto"/>
          </w:tcPr>
          <w:p w:rsidR="00BA6428" w:rsidRPr="002D39D9" w:rsidRDefault="000328AE" w:rsidP="00BA6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b/>
              </w:rPr>
              <w:t xml:space="preserve"> teljesen </w:t>
            </w:r>
            <w:r w:rsidR="00BA6428" w:rsidRPr="002D39D9">
              <w:rPr>
                <w:b/>
              </w:rPr>
              <w:t>kihasznált</w:t>
            </w:r>
          </w:p>
        </w:tc>
      </w:tr>
    </w:tbl>
    <w:p w:rsidR="00173ED4" w:rsidRDefault="00173ED4" w:rsidP="00B202FB">
      <w:pPr>
        <w:jc w:val="both"/>
      </w:pPr>
    </w:p>
    <w:p w:rsidR="000328AE" w:rsidRDefault="000328AE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A108860" wp14:editId="074C7A88">
            <wp:extent cx="5895975" cy="3600450"/>
            <wp:effectExtent l="0" t="0" r="9525" b="0"/>
            <wp:docPr id="32" name="Diagram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A6428" w:rsidRDefault="00BA6428" w:rsidP="00B202FB">
      <w:pPr>
        <w:jc w:val="both"/>
      </w:pPr>
    </w:p>
    <w:p w:rsidR="00173ED4" w:rsidRDefault="00173ED4" w:rsidP="00B202FB">
      <w:pPr>
        <w:jc w:val="both"/>
      </w:pPr>
    </w:p>
    <w:p w:rsidR="00A07489" w:rsidRDefault="00A07489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C057AF7" wp14:editId="194B1B1E">
            <wp:extent cx="5705475" cy="2362200"/>
            <wp:effectExtent l="0" t="0" r="9525" b="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73ED4" w:rsidRDefault="00173ED4" w:rsidP="00B202FB">
      <w:pPr>
        <w:jc w:val="both"/>
      </w:pPr>
    </w:p>
    <w:p w:rsidR="000328AE" w:rsidRDefault="000328AE" w:rsidP="00B202FB">
      <w:pPr>
        <w:jc w:val="both"/>
        <w:rPr>
          <w:b/>
        </w:rPr>
      </w:pPr>
    </w:p>
    <w:p w:rsidR="00173ED4" w:rsidRPr="00173ED4" w:rsidRDefault="00173ED4" w:rsidP="00B202FB">
      <w:pPr>
        <w:jc w:val="both"/>
        <w:rPr>
          <w:b/>
        </w:rPr>
      </w:pPr>
      <w:r w:rsidRPr="00173ED4">
        <w:rPr>
          <w:b/>
        </w:rPr>
        <w:t>Érsekkerti épület</w:t>
      </w:r>
    </w:p>
    <w:p w:rsidR="00173ED4" w:rsidRDefault="00173ED4" w:rsidP="00B202FB">
      <w:pPr>
        <w:jc w:val="both"/>
      </w:pPr>
      <w:r>
        <w:t xml:space="preserve">Ebben az épületben 8 oktatási helyiség található, melyek főleg a pedagógiai, pszichológiai </w:t>
      </w:r>
      <w:proofErr w:type="gramStart"/>
      <w:r>
        <w:t>tárgyak</w:t>
      </w:r>
      <w:proofErr w:type="gramEnd"/>
      <w:r>
        <w:t xml:space="preserve"> ill. a közművelődési és az ének-zene tanszék oktatási tevékenységének kiszolgálását teszik lehetővé.</w:t>
      </w:r>
      <w:r w:rsidR="00EF1BD5">
        <w:t xml:space="preserve"> Itt a 6 oktatási félév összesítésével számolt átlagok szerint az épület 68,54%-</w:t>
      </w:r>
      <w:proofErr w:type="spellStart"/>
      <w:r w:rsidR="00EF1BD5">
        <w:t>os</w:t>
      </w:r>
      <w:proofErr w:type="spellEnd"/>
      <w:r w:rsidR="00EF1BD5">
        <w:t xml:space="preserve"> kihasználtságú, a </w:t>
      </w:r>
      <w:r w:rsidR="00575A3C">
        <w:t>maximális óraszámok esetén 88,54</w:t>
      </w:r>
      <w:r w:rsidR="00EF1BD5">
        <w:t>%-</w:t>
      </w:r>
      <w:proofErr w:type="spellStart"/>
      <w:r w:rsidR="00EF1BD5">
        <w:t>osan</w:t>
      </w:r>
      <w:proofErr w:type="spellEnd"/>
      <w:r w:rsidR="00EF1BD5">
        <w:t>, aza</w:t>
      </w:r>
      <w:r w:rsidR="004F0DE4">
        <w:t>z teljesen kihasznált. Mindössze egy terem minősült közepesen kihasználtnak ez a 210-es terem, a többi kihasznált kategóriába esik.</w:t>
      </w: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68"/>
        <w:gridCol w:w="2218"/>
      </w:tblGrid>
      <w:tr w:rsidR="00173ED4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2E74B5" w:themeFill="accent1" w:themeFillShade="BF"/>
            <w:noWrap/>
            <w:vAlign w:val="bottom"/>
          </w:tcPr>
          <w:p w:rsidR="00173ED4" w:rsidRPr="00173ED4" w:rsidRDefault="00173ED4" w:rsidP="00173E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Érsekkerti épület, terem száma</w:t>
            </w:r>
          </w:p>
        </w:tc>
        <w:tc>
          <w:tcPr>
            <w:tcW w:w="1468" w:type="dxa"/>
            <w:shd w:val="clear" w:color="auto" w:fill="2E74B5" w:themeFill="accent1" w:themeFillShade="BF"/>
          </w:tcPr>
          <w:p w:rsidR="00173ED4" w:rsidRPr="00173ED4" w:rsidRDefault="00173ED4" w:rsidP="0017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b/>
                <w:lang w:eastAsia="hu-HU"/>
              </w:rPr>
              <w:t>Átlagos kihasználtsága</w:t>
            </w:r>
          </w:p>
        </w:tc>
        <w:tc>
          <w:tcPr>
            <w:tcW w:w="2218" w:type="dxa"/>
            <w:shd w:val="clear" w:color="auto" w:fill="2E74B5" w:themeFill="accent1" w:themeFillShade="BF"/>
          </w:tcPr>
          <w:p w:rsidR="00173ED4" w:rsidRPr="00173ED4" w:rsidRDefault="00E41113" w:rsidP="0017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Kihasználtság kategóriája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.1</w:t>
            </w:r>
          </w:p>
        </w:tc>
        <w:tc>
          <w:tcPr>
            <w:tcW w:w="1468" w:type="dxa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68,25%</w:t>
            </w:r>
          </w:p>
        </w:tc>
        <w:tc>
          <w:tcPr>
            <w:tcW w:w="2218" w:type="dxa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385623" w:themeFill="accent6" w:themeFillShade="80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.2</w:t>
            </w:r>
          </w:p>
        </w:tc>
        <w:tc>
          <w:tcPr>
            <w:tcW w:w="1468" w:type="dxa"/>
            <w:shd w:val="clear" w:color="auto" w:fill="385623" w:themeFill="accent6" w:themeFillShade="80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77,81%</w:t>
            </w:r>
          </w:p>
        </w:tc>
        <w:tc>
          <w:tcPr>
            <w:tcW w:w="2218" w:type="dxa"/>
            <w:shd w:val="clear" w:color="auto" w:fill="385623" w:themeFill="accent6" w:themeFillShade="80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F7CAAC" w:themeFill="accent2" w:themeFillTint="66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.3</w:t>
            </w:r>
          </w:p>
        </w:tc>
        <w:tc>
          <w:tcPr>
            <w:tcW w:w="1468" w:type="dxa"/>
            <w:shd w:val="clear" w:color="auto" w:fill="F7CAAC" w:themeFill="accent2" w:themeFillTint="66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66,95%</w:t>
            </w:r>
          </w:p>
        </w:tc>
        <w:tc>
          <w:tcPr>
            <w:tcW w:w="2218" w:type="dxa"/>
            <w:shd w:val="clear" w:color="auto" w:fill="F7CAAC" w:themeFill="accent2" w:themeFillTint="66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538135" w:themeFill="accent6" w:themeFillShade="BF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.4</w:t>
            </w:r>
          </w:p>
        </w:tc>
        <w:tc>
          <w:tcPr>
            <w:tcW w:w="1468" w:type="dxa"/>
            <w:shd w:val="clear" w:color="auto" w:fill="538135" w:themeFill="accent6" w:themeFillShade="BF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75,78%</w:t>
            </w:r>
          </w:p>
        </w:tc>
        <w:tc>
          <w:tcPr>
            <w:tcW w:w="2218" w:type="dxa"/>
            <w:shd w:val="clear" w:color="auto" w:fill="538135" w:themeFill="accent6" w:themeFillShade="BF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A8D08D" w:themeFill="accent6" w:themeFillTint="99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  <w:tc>
          <w:tcPr>
            <w:tcW w:w="1468" w:type="dxa"/>
            <w:shd w:val="clear" w:color="auto" w:fill="A8D08D" w:themeFill="accent6" w:themeFillTint="99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71,27%</w:t>
            </w:r>
          </w:p>
        </w:tc>
        <w:tc>
          <w:tcPr>
            <w:tcW w:w="2218" w:type="dxa"/>
            <w:shd w:val="clear" w:color="auto" w:fill="A8D08D" w:themeFill="accent6" w:themeFillTint="99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207</w:t>
            </w:r>
          </w:p>
        </w:tc>
        <w:tc>
          <w:tcPr>
            <w:tcW w:w="1468" w:type="dxa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69,28%</w:t>
            </w:r>
          </w:p>
        </w:tc>
        <w:tc>
          <w:tcPr>
            <w:tcW w:w="2218" w:type="dxa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EF1BD5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F4B083" w:themeFill="accent2" w:themeFillTint="99"/>
            <w:noWrap/>
            <w:vAlign w:val="bottom"/>
            <w:hideMark/>
          </w:tcPr>
          <w:p w:rsidR="00EF1BD5" w:rsidRPr="00173ED4" w:rsidRDefault="00EF1BD5" w:rsidP="00EF1B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209</w:t>
            </w:r>
          </w:p>
        </w:tc>
        <w:tc>
          <w:tcPr>
            <w:tcW w:w="1468" w:type="dxa"/>
            <w:shd w:val="clear" w:color="auto" w:fill="F4B083" w:themeFill="accent2" w:themeFillTint="99"/>
            <w:vAlign w:val="bottom"/>
          </w:tcPr>
          <w:p w:rsidR="00EF1BD5" w:rsidRPr="00173ED4" w:rsidRDefault="00EF1BD5" w:rsidP="00EF1BD5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63,07%</w:t>
            </w:r>
          </w:p>
        </w:tc>
        <w:tc>
          <w:tcPr>
            <w:tcW w:w="2218" w:type="dxa"/>
            <w:shd w:val="clear" w:color="auto" w:fill="F4B083" w:themeFill="accent2" w:themeFillTint="99"/>
          </w:tcPr>
          <w:p w:rsidR="00EF1BD5" w:rsidRPr="00EF1BD5" w:rsidRDefault="00EF1BD5" w:rsidP="00EF1BD5">
            <w:pPr>
              <w:spacing w:after="0"/>
              <w:jc w:val="center"/>
            </w:pPr>
            <w:r w:rsidRPr="00EF1BD5">
              <w:t>kihasznált</w:t>
            </w:r>
          </w:p>
        </w:tc>
      </w:tr>
      <w:tr w:rsidR="00173ED4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C45911" w:themeFill="accent2" w:themeFillShade="BF"/>
            <w:noWrap/>
            <w:vAlign w:val="bottom"/>
            <w:hideMark/>
          </w:tcPr>
          <w:p w:rsidR="00173ED4" w:rsidRPr="00173ED4" w:rsidRDefault="00173ED4" w:rsidP="0017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173ED4">
              <w:rPr>
                <w:rFonts w:ascii="Calibri" w:eastAsia="Times New Roman" w:hAnsi="Calibri" w:cs="Calibri"/>
                <w:color w:val="000000"/>
                <w:lang w:eastAsia="hu-HU"/>
              </w:rPr>
              <w:t>210</w:t>
            </w:r>
          </w:p>
        </w:tc>
        <w:tc>
          <w:tcPr>
            <w:tcW w:w="1468" w:type="dxa"/>
            <w:shd w:val="clear" w:color="auto" w:fill="C45911" w:themeFill="accent2" w:themeFillShade="BF"/>
            <w:vAlign w:val="bottom"/>
          </w:tcPr>
          <w:p w:rsidR="00173ED4" w:rsidRPr="00173ED4" w:rsidRDefault="00173ED4" w:rsidP="00173ED4">
            <w:pPr>
              <w:spacing w:after="0"/>
              <w:jc w:val="center"/>
              <w:rPr>
                <w:rFonts w:ascii="Calibri" w:hAnsi="Calibri" w:cs="Calibri"/>
              </w:rPr>
            </w:pPr>
            <w:r w:rsidRPr="00173ED4">
              <w:rPr>
                <w:rFonts w:ascii="Calibri" w:hAnsi="Calibri" w:cs="Calibri"/>
              </w:rPr>
              <w:t>55,88%</w:t>
            </w:r>
          </w:p>
        </w:tc>
        <w:tc>
          <w:tcPr>
            <w:tcW w:w="2218" w:type="dxa"/>
            <w:shd w:val="clear" w:color="auto" w:fill="C45911" w:themeFill="accent2" w:themeFillShade="BF"/>
          </w:tcPr>
          <w:p w:rsidR="00173ED4" w:rsidRPr="00EF1BD5" w:rsidRDefault="00EF1BD5" w:rsidP="00EF1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EF1BD5">
              <w:t>közepesen kihasznált</w:t>
            </w:r>
          </w:p>
        </w:tc>
      </w:tr>
      <w:tr w:rsidR="00173ED4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173ED4" w:rsidRPr="00173ED4" w:rsidRDefault="00173ED4" w:rsidP="00173E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1468" w:type="dxa"/>
            <w:vAlign w:val="bottom"/>
          </w:tcPr>
          <w:p w:rsidR="00173ED4" w:rsidRPr="00173ED4" w:rsidRDefault="0091212B" w:rsidP="00173ED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68,54%</w:t>
            </w:r>
          </w:p>
        </w:tc>
        <w:tc>
          <w:tcPr>
            <w:tcW w:w="2218" w:type="dxa"/>
          </w:tcPr>
          <w:p w:rsidR="00173ED4" w:rsidRPr="00391A19" w:rsidRDefault="00EF1BD5" w:rsidP="00EF1B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391A19">
              <w:rPr>
                <w:b/>
              </w:rPr>
              <w:t>kihasznált</w:t>
            </w:r>
          </w:p>
        </w:tc>
      </w:tr>
      <w:tr w:rsidR="00173ED4" w:rsidRPr="00173ED4" w:rsidTr="00A374FA">
        <w:trPr>
          <w:trHeight w:val="300"/>
          <w:jc w:val="center"/>
        </w:trPr>
        <w:tc>
          <w:tcPr>
            <w:tcW w:w="2972" w:type="dxa"/>
            <w:shd w:val="clear" w:color="auto" w:fill="auto"/>
            <w:noWrap/>
            <w:vAlign w:val="bottom"/>
          </w:tcPr>
          <w:p w:rsidR="00173ED4" w:rsidRPr="00173ED4" w:rsidRDefault="00173ED4" w:rsidP="00173E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1468" w:type="dxa"/>
            <w:vAlign w:val="bottom"/>
          </w:tcPr>
          <w:p w:rsidR="00173ED4" w:rsidRPr="00173ED4" w:rsidRDefault="00575A3C" w:rsidP="00173ED4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88,54</w:t>
            </w:r>
            <w:r w:rsidR="0091212B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2218" w:type="dxa"/>
          </w:tcPr>
          <w:p w:rsidR="00173ED4" w:rsidRPr="00173ED4" w:rsidRDefault="00EF1BD5" w:rsidP="0017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teljesen kihasznált</w:t>
            </w:r>
          </w:p>
        </w:tc>
      </w:tr>
    </w:tbl>
    <w:p w:rsidR="004A2187" w:rsidRDefault="004A2187" w:rsidP="00B202FB">
      <w:pPr>
        <w:jc w:val="both"/>
      </w:pPr>
    </w:p>
    <w:p w:rsidR="00173ED4" w:rsidRDefault="0033296D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715C0904" wp14:editId="72D2C45A">
            <wp:extent cx="5953125" cy="3667125"/>
            <wp:effectExtent l="0" t="0" r="9525" b="9525"/>
            <wp:docPr id="33" name="Diagra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A2187" w:rsidRDefault="004A2187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1AC3B219" wp14:editId="6094373B">
            <wp:extent cx="6029325" cy="2428875"/>
            <wp:effectExtent l="0" t="0" r="9525" b="9525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1A19" w:rsidRPr="00391A19" w:rsidRDefault="00391A19" w:rsidP="00B202FB">
      <w:pPr>
        <w:jc w:val="both"/>
        <w:rPr>
          <w:b/>
        </w:rPr>
      </w:pPr>
      <w:r w:rsidRPr="00391A19">
        <w:rPr>
          <w:b/>
        </w:rPr>
        <w:t>F épület</w:t>
      </w:r>
    </w:p>
    <w:p w:rsidR="00391A19" w:rsidRDefault="00391A19" w:rsidP="00B202FB">
      <w:pPr>
        <w:jc w:val="both"/>
      </w:pPr>
      <w:r>
        <w:t xml:space="preserve">A Leányka úti </w:t>
      </w:r>
      <w:r w:rsidR="00AB3792">
        <w:t>Campus</w:t>
      </w:r>
      <w:r>
        <w:t>on belül két épületben, összesen 1</w:t>
      </w:r>
      <w:r w:rsidR="00926C7A">
        <w:t>3</w:t>
      </w:r>
      <w:r>
        <w:t xml:space="preserve"> tanteremben kapnak helyet a rajz és vizuális kultúra tanszékének órái és általában a művészeti oktatáshoz kapcsolódó órák. Az oktatóhelyiségek 6 féléves átlagos kihasználtsága 29,60%-</w:t>
      </w:r>
      <w:proofErr w:type="spellStart"/>
      <w:r>
        <w:t>os</w:t>
      </w:r>
      <w:proofErr w:type="spellEnd"/>
      <w:r>
        <w:t>, mely kihasználatlan kategóriába esik, a maximális óraszámok e</w:t>
      </w:r>
      <w:r w:rsidR="00D82717">
        <w:t>setén ez a mutató 82,30</w:t>
      </w:r>
      <w:r w:rsidR="00926C7A">
        <w:t>% - ekkor</w:t>
      </w:r>
      <w:r w:rsidR="00D82717">
        <w:t xml:space="preserve"> teljesen</w:t>
      </w:r>
      <w:r>
        <w:t xml:space="preserve"> kihasznált az épület. A termek közül 5 kapott teljesen kihasználatlan minősítést, 4 kihasználatlant, 2 közepesen kihasználtat</w:t>
      </w:r>
      <w:r w:rsidR="00926C7A">
        <w:t xml:space="preserve"> és 2 kihasználtat. Teljesen kihasznált kategóriája egyetlen teremnek sincs.</w:t>
      </w:r>
    </w:p>
    <w:p w:rsidR="00A374FA" w:rsidRDefault="00A374FA" w:rsidP="00B202FB">
      <w:pPr>
        <w:jc w:val="both"/>
      </w:pPr>
      <w:r>
        <w:t xml:space="preserve">A tanszék óraszámai folyamatos növekedést mutatnak (mind átlag, mind </w:t>
      </w:r>
      <w:proofErr w:type="spellStart"/>
      <w:r>
        <w:t>maxóraszámot</w:t>
      </w:r>
      <w:proofErr w:type="spellEnd"/>
      <w:r>
        <w:t xml:space="preserve"> tekintve), ezzel párhuzamosan a kihasználtság is növekvő tendenciát ad. 2015/16/1 félévében az átlag óraszám 19,20 óra volt hetente, a maximum 38,15, ezek az adatok 2017/18/2 félévben 25,45 és 53,71 óra volt, mellyel az átlag kihasználtság 5,95%-</w:t>
      </w:r>
      <w:proofErr w:type="spellStart"/>
      <w:r>
        <w:t>kal</w:t>
      </w:r>
      <w:proofErr w:type="spellEnd"/>
      <w:r>
        <w:t xml:space="preserve"> emelkedett, míg a maximális kihasználtsági érték 21,61%-</w:t>
      </w:r>
      <w:proofErr w:type="spellStart"/>
      <w:r>
        <w:t>kal</w:t>
      </w:r>
      <w:proofErr w:type="spellEnd"/>
      <w:r>
        <w:t>.</w:t>
      </w:r>
    </w:p>
    <w:p w:rsidR="00AB3792" w:rsidRDefault="00AB3792" w:rsidP="00B202FB">
      <w:pPr>
        <w:jc w:val="both"/>
      </w:pPr>
    </w:p>
    <w:p w:rsidR="00AB3792" w:rsidRDefault="00AB3792" w:rsidP="00B202FB">
      <w:pPr>
        <w:jc w:val="both"/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551"/>
      </w:tblGrid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4472C4" w:themeFill="accent5"/>
            <w:noWrap/>
            <w:vAlign w:val="bottom"/>
          </w:tcPr>
          <w:p w:rsidR="004A2187" w:rsidRPr="00173ED4" w:rsidRDefault="004A2187" w:rsidP="004A2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</w:t>
            </w: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épület, terem száma</w:t>
            </w:r>
          </w:p>
        </w:tc>
        <w:tc>
          <w:tcPr>
            <w:tcW w:w="2552" w:type="dxa"/>
            <w:shd w:val="clear" w:color="auto" w:fill="4472C4" w:themeFill="accent5"/>
          </w:tcPr>
          <w:p w:rsidR="004A2187" w:rsidRPr="00173ED4" w:rsidRDefault="004A2187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173ED4">
              <w:rPr>
                <w:rFonts w:ascii="Calibri" w:eastAsia="Times New Roman" w:hAnsi="Calibri" w:cs="Calibri"/>
                <w:b/>
                <w:lang w:eastAsia="hu-HU"/>
              </w:rPr>
              <w:t>Átlagos kihasználtsága</w:t>
            </w:r>
          </w:p>
        </w:tc>
        <w:tc>
          <w:tcPr>
            <w:tcW w:w="2551" w:type="dxa"/>
            <w:shd w:val="clear" w:color="auto" w:fill="4472C4" w:themeFill="accent5"/>
          </w:tcPr>
          <w:p w:rsidR="004A2187" w:rsidRPr="00173ED4" w:rsidRDefault="00E41113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Kihasználtság kategóriája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F4B083" w:themeFill="accent2" w:themeFillTint="99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.001.</w:t>
            </w:r>
          </w:p>
        </w:tc>
        <w:tc>
          <w:tcPr>
            <w:tcW w:w="2552" w:type="dxa"/>
            <w:shd w:val="clear" w:color="auto" w:fill="F4B083" w:themeFill="accent2" w:themeFillTint="99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8,10%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kihasználatlan</w:t>
            </w:r>
          </w:p>
        </w:tc>
      </w:tr>
      <w:tr w:rsidR="00391A19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391A19" w:rsidRPr="004A2187" w:rsidRDefault="00391A19" w:rsidP="00391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.002.</w:t>
            </w:r>
          </w:p>
        </w:tc>
        <w:tc>
          <w:tcPr>
            <w:tcW w:w="2552" w:type="dxa"/>
            <w:vAlign w:val="bottom"/>
          </w:tcPr>
          <w:p w:rsidR="00391A19" w:rsidRPr="00391A19" w:rsidRDefault="00391A19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15,28%</w:t>
            </w:r>
          </w:p>
        </w:tc>
        <w:tc>
          <w:tcPr>
            <w:tcW w:w="2551" w:type="dxa"/>
          </w:tcPr>
          <w:p w:rsidR="00391A19" w:rsidRDefault="00391A19" w:rsidP="00391A19">
            <w:pPr>
              <w:jc w:val="center"/>
            </w:pPr>
            <w:r w:rsidRPr="000B346F"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kihasználatlan</w:t>
            </w:r>
          </w:p>
        </w:tc>
      </w:tr>
      <w:tr w:rsidR="00391A19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C45911" w:themeFill="accent2" w:themeFillShade="BF"/>
            <w:noWrap/>
            <w:vAlign w:val="bottom"/>
            <w:hideMark/>
          </w:tcPr>
          <w:p w:rsidR="00391A19" w:rsidRPr="004A2187" w:rsidRDefault="00391A19" w:rsidP="00391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.003.</w:t>
            </w:r>
          </w:p>
        </w:tc>
        <w:tc>
          <w:tcPr>
            <w:tcW w:w="2552" w:type="dxa"/>
            <w:shd w:val="clear" w:color="auto" w:fill="C45911" w:themeFill="accent2" w:themeFillShade="BF"/>
            <w:vAlign w:val="bottom"/>
          </w:tcPr>
          <w:p w:rsidR="00391A19" w:rsidRPr="00391A19" w:rsidRDefault="00391A19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0,46%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:rsidR="00391A19" w:rsidRDefault="00391A19" w:rsidP="00391A19">
            <w:pPr>
              <w:jc w:val="center"/>
            </w:pPr>
            <w:r w:rsidRPr="000B346F"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kihasználatlan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.004.</w:t>
            </w:r>
          </w:p>
        </w:tc>
        <w:tc>
          <w:tcPr>
            <w:tcW w:w="2552" w:type="dxa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22,22%</w:t>
            </w:r>
          </w:p>
        </w:tc>
        <w:tc>
          <w:tcPr>
            <w:tcW w:w="2551" w:type="dxa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.Fsz.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101.</w:t>
            </w:r>
          </w:p>
        </w:tc>
        <w:tc>
          <w:tcPr>
            <w:tcW w:w="2552" w:type="dxa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14,29%</w:t>
            </w:r>
          </w:p>
        </w:tc>
        <w:tc>
          <w:tcPr>
            <w:tcW w:w="2551" w:type="dxa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kihasználatlan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385623" w:themeFill="accent6" w:themeFillShade="80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.Fsz.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104.</w:t>
            </w:r>
          </w:p>
        </w:tc>
        <w:tc>
          <w:tcPr>
            <w:tcW w:w="2552" w:type="dxa"/>
            <w:shd w:val="clear" w:color="auto" w:fill="385623" w:themeFill="accent6" w:themeFillShade="80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60,75%</w:t>
            </w:r>
          </w:p>
        </w:tc>
        <w:tc>
          <w:tcPr>
            <w:tcW w:w="2551" w:type="dxa"/>
            <w:shd w:val="clear" w:color="auto" w:fill="385623" w:themeFill="accent6" w:themeFillShade="80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538135" w:themeFill="accent6" w:themeFillShade="BF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201</w:t>
            </w:r>
          </w:p>
        </w:tc>
        <w:tc>
          <w:tcPr>
            <w:tcW w:w="2552" w:type="dxa"/>
            <w:shd w:val="clear" w:color="auto" w:fill="538135" w:themeFill="accent6" w:themeFillShade="BF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60,04%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202</w:t>
            </w:r>
          </w:p>
        </w:tc>
        <w:tc>
          <w:tcPr>
            <w:tcW w:w="2552" w:type="dxa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35,92%</w:t>
            </w:r>
          </w:p>
        </w:tc>
        <w:tc>
          <w:tcPr>
            <w:tcW w:w="2551" w:type="dxa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proofErr w:type="gram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203</w:t>
            </w:r>
          </w:p>
        </w:tc>
        <w:tc>
          <w:tcPr>
            <w:tcW w:w="2552" w:type="dxa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34,33%</w:t>
            </w:r>
          </w:p>
        </w:tc>
        <w:tc>
          <w:tcPr>
            <w:tcW w:w="2551" w:type="dxa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Kepes</w:t>
            </w:r>
            <w:proofErr w:type="spellEnd"/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műterem</w:t>
            </w:r>
          </w:p>
        </w:tc>
        <w:tc>
          <w:tcPr>
            <w:tcW w:w="2552" w:type="dxa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22,15%</w:t>
            </w:r>
          </w:p>
        </w:tc>
        <w:tc>
          <w:tcPr>
            <w:tcW w:w="2551" w:type="dxa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8D08D" w:themeFill="accent6" w:themeFillTint="99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Rajz terem-1</w:t>
            </w:r>
          </w:p>
        </w:tc>
        <w:tc>
          <w:tcPr>
            <w:tcW w:w="2552" w:type="dxa"/>
            <w:shd w:val="clear" w:color="auto" w:fill="A8D08D" w:themeFill="accent6" w:themeFillTint="99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55,89%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Rajz terem-2</w:t>
            </w:r>
          </w:p>
        </w:tc>
        <w:tc>
          <w:tcPr>
            <w:tcW w:w="2552" w:type="dxa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45,87%</w:t>
            </w:r>
          </w:p>
        </w:tc>
        <w:tc>
          <w:tcPr>
            <w:tcW w:w="2551" w:type="dxa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</w:tr>
      <w:tr w:rsidR="004A2187" w:rsidRPr="004A2187" w:rsidTr="00A374FA">
        <w:trPr>
          <w:trHeight w:val="300"/>
          <w:jc w:val="center"/>
        </w:trPr>
        <w:tc>
          <w:tcPr>
            <w:tcW w:w="2263" w:type="dxa"/>
            <w:shd w:val="clear" w:color="auto" w:fill="F7CAAC" w:themeFill="accent2" w:themeFillTint="66"/>
            <w:noWrap/>
            <w:vAlign w:val="bottom"/>
            <w:hideMark/>
          </w:tcPr>
          <w:p w:rsidR="004A2187" w:rsidRPr="004A2187" w:rsidRDefault="004A2187" w:rsidP="004A2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2187">
              <w:rPr>
                <w:rFonts w:ascii="Calibri" w:eastAsia="Times New Roman" w:hAnsi="Calibri" w:cs="Calibri"/>
                <w:color w:val="000000"/>
                <w:lang w:eastAsia="hu-HU"/>
              </w:rPr>
              <w:t>Szobrász 1</w:t>
            </w:r>
          </w:p>
        </w:tc>
        <w:tc>
          <w:tcPr>
            <w:tcW w:w="2552" w:type="dxa"/>
            <w:shd w:val="clear" w:color="auto" w:fill="F7CAAC" w:themeFill="accent2" w:themeFillTint="66"/>
            <w:vAlign w:val="bottom"/>
          </w:tcPr>
          <w:p w:rsidR="004A2187" w:rsidRPr="00391A19" w:rsidRDefault="004A2187" w:rsidP="00391A19">
            <w:pPr>
              <w:spacing w:after="0"/>
              <w:jc w:val="center"/>
              <w:rPr>
                <w:rFonts w:ascii="Calibri" w:hAnsi="Calibri" w:cs="Calibri"/>
              </w:rPr>
            </w:pPr>
            <w:r w:rsidRPr="00391A19">
              <w:rPr>
                <w:rFonts w:ascii="Calibri" w:hAnsi="Calibri" w:cs="Calibri"/>
              </w:rPr>
              <w:t>9,51%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4A2187" w:rsidRPr="004A2187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kihasználatlan</w:t>
            </w:r>
          </w:p>
        </w:tc>
      </w:tr>
      <w:tr w:rsidR="00391A19" w:rsidRPr="00391A19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</w:tcPr>
          <w:p w:rsidR="00391A19" w:rsidRPr="00391A19" w:rsidRDefault="00391A19" w:rsidP="00391A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91A1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552" w:type="dxa"/>
            <w:vAlign w:val="bottom"/>
          </w:tcPr>
          <w:p w:rsidR="00391A19" w:rsidRPr="00391A19" w:rsidRDefault="00391A19" w:rsidP="00391A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91A19">
              <w:rPr>
                <w:rFonts w:ascii="Calibri" w:hAnsi="Calibri" w:cs="Calibri"/>
                <w:b/>
              </w:rPr>
              <w:t>29,60%</w:t>
            </w:r>
          </w:p>
        </w:tc>
        <w:tc>
          <w:tcPr>
            <w:tcW w:w="2551" w:type="dxa"/>
          </w:tcPr>
          <w:p w:rsidR="00391A19" w:rsidRPr="00391A19" w:rsidRDefault="00391A19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91A1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kihasználatlan</w:t>
            </w:r>
          </w:p>
        </w:tc>
      </w:tr>
      <w:tr w:rsidR="00391A19" w:rsidRPr="00391A19" w:rsidTr="00A374FA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bottom"/>
          </w:tcPr>
          <w:p w:rsidR="00391A19" w:rsidRPr="00391A19" w:rsidRDefault="00391A19" w:rsidP="00391A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91A1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Maximum</w:t>
            </w:r>
          </w:p>
        </w:tc>
        <w:tc>
          <w:tcPr>
            <w:tcW w:w="2552" w:type="dxa"/>
            <w:vAlign w:val="bottom"/>
          </w:tcPr>
          <w:p w:rsidR="00391A19" w:rsidRPr="00391A19" w:rsidRDefault="00D82717" w:rsidP="00391A1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82,30</w:t>
            </w:r>
            <w:r w:rsidR="00391A19" w:rsidRPr="00391A19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2551" w:type="dxa"/>
          </w:tcPr>
          <w:p w:rsidR="00391A19" w:rsidRPr="00391A19" w:rsidRDefault="00D82717" w:rsidP="0039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teljesen </w:t>
            </w:r>
            <w:r w:rsidR="00391A19" w:rsidRPr="00391A19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kihasznált</w:t>
            </w:r>
          </w:p>
        </w:tc>
      </w:tr>
    </w:tbl>
    <w:p w:rsidR="004A2187" w:rsidRDefault="004A2187" w:rsidP="00B202FB">
      <w:pPr>
        <w:jc w:val="both"/>
      </w:pPr>
    </w:p>
    <w:p w:rsidR="004A2187" w:rsidRDefault="00FE081A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3117BD95" wp14:editId="76D0CD39">
            <wp:extent cx="6219825" cy="3238500"/>
            <wp:effectExtent l="0" t="0" r="9525" b="0"/>
            <wp:docPr id="35" name="Diagram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F4393" w:rsidRDefault="009F4393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435E0A94" wp14:editId="09C8A7CF">
            <wp:extent cx="6267450" cy="27432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74FA" w:rsidRDefault="00A374FA" w:rsidP="00B202FB">
      <w:pPr>
        <w:jc w:val="both"/>
      </w:pPr>
    </w:p>
    <w:p w:rsidR="00A374FA" w:rsidRDefault="00A374FA" w:rsidP="00B202FB">
      <w:pPr>
        <w:jc w:val="both"/>
      </w:pPr>
    </w:p>
    <w:p w:rsidR="00A374FA" w:rsidRDefault="00572C5A" w:rsidP="00B202FB">
      <w:pPr>
        <w:jc w:val="both"/>
      </w:pPr>
      <w:r>
        <w:t xml:space="preserve">Összefoglalva és </w:t>
      </w:r>
      <w:r w:rsidR="00041AF0">
        <w:t xml:space="preserve">egymással </w:t>
      </w:r>
      <w:r w:rsidR="00AB3792">
        <w:t xml:space="preserve">összehasonlítva </w:t>
      </w:r>
      <w:proofErr w:type="spellStart"/>
      <w:r w:rsidR="00AB3792">
        <w:t>azE</w:t>
      </w:r>
      <w:r>
        <w:t>egri</w:t>
      </w:r>
      <w:proofErr w:type="spellEnd"/>
      <w:r>
        <w:t xml:space="preserve"> </w:t>
      </w:r>
      <w:r w:rsidR="00AB3792">
        <w:t>Campus</w:t>
      </w:r>
      <w:r>
        <w:t xml:space="preserve"> épületeinek kihasználtságát az alábbiakat mondhatjuk el: </w:t>
      </w:r>
    </w:p>
    <w:p w:rsidR="00572C5A" w:rsidRDefault="00572C5A" w:rsidP="00572C5A">
      <w:pPr>
        <w:pStyle w:val="Listaszerbekezds"/>
        <w:numPr>
          <w:ilvl w:val="0"/>
          <w:numId w:val="1"/>
        </w:numPr>
        <w:jc w:val="both"/>
      </w:pPr>
      <w:r>
        <w:t xml:space="preserve">B épület a </w:t>
      </w:r>
      <w:r w:rsidR="00041AF0">
        <w:t xml:space="preserve">legnagyobb kapacitású és </w:t>
      </w:r>
      <w:proofErr w:type="spellStart"/>
      <w:r>
        <w:t>legkihasználtabb</w:t>
      </w:r>
      <w:proofErr w:type="spellEnd"/>
      <w:r>
        <w:t xml:space="preserve"> épületünk, hisz itt a 6 féléves átlag 71,14%-</w:t>
      </w:r>
      <w:proofErr w:type="spellStart"/>
      <w:r>
        <w:t>os</w:t>
      </w:r>
      <w:proofErr w:type="spellEnd"/>
      <w:r>
        <w:t xml:space="preserve"> </w:t>
      </w:r>
      <w:proofErr w:type="spellStart"/>
      <w:r>
        <w:t>kihasználtságot</w:t>
      </w:r>
      <w:proofErr w:type="spellEnd"/>
      <w:r>
        <w:t xml:space="preserve"> mutat, ezt követi az Érsekkert, majd az A épület.</w:t>
      </w:r>
    </w:p>
    <w:p w:rsidR="00572C5A" w:rsidRDefault="00572C5A" w:rsidP="00572C5A">
      <w:pPr>
        <w:pStyle w:val="Listaszerbekezds"/>
        <w:numPr>
          <w:ilvl w:val="0"/>
          <w:numId w:val="1"/>
        </w:numPr>
        <w:jc w:val="both"/>
      </w:pPr>
      <w:r>
        <w:t>Legkevésbé kihasznált épületünk az F épület 29,60%-</w:t>
      </w:r>
      <w:proofErr w:type="spellStart"/>
      <w:r>
        <w:t>kal</w:t>
      </w:r>
      <w:proofErr w:type="spellEnd"/>
      <w:r>
        <w:t>, majd az E épület és a D épület következik</w:t>
      </w:r>
    </w:p>
    <w:p w:rsidR="000F0087" w:rsidRDefault="000F0087" w:rsidP="000F0087">
      <w:pPr>
        <w:jc w:val="both"/>
      </w:pPr>
      <w:r>
        <w:lastRenderedPageBreak/>
        <w:t xml:space="preserve">Az alábbiakban az egri </w:t>
      </w:r>
      <w:r w:rsidR="00AB3792">
        <w:t>Campus</w:t>
      </w:r>
      <w:r>
        <w:t xml:space="preserve"> </w:t>
      </w:r>
      <w:proofErr w:type="spellStart"/>
      <w:r>
        <w:t>épületenkénti</w:t>
      </w:r>
      <w:proofErr w:type="spellEnd"/>
      <w:r>
        <w:t xml:space="preserve"> átlag és maximum értékek és a kihasználtsági mértékek kerültek feltüntetésre: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089"/>
        <w:gridCol w:w="1030"/>
        <w:gridCol w:w="1089"/>
        <w:gridCol w:w="1089"/>
        <w:gridCol w:w="1407"/>
        <w:gridCol w:w="1030"/>
        <w:gridCol w:w="1407"/>
      </w:tblGrid>
      <w:tr w:rsidR="005B5DFD" w:rsidRPr="005B5DFD" w:rsidTr="005B5DFD">
        <w:trPr>
          <w:trHeight w:val="302"/>
          <w:jc w:val="center"/>
        </w:trPr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Épületenkénti</w:t>
            </w:r>
            <w:proofErr w:type="spellEnd"/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kihasználtság</w:t>
            </w:r>
            <w:r w:rsidR="005B5DFD" w:rsidRPr="005B5DF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(Eger)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 épület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 épület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 épület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 épület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 épület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Érsekkert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2C5A" w:rsidRPr="00572C5A" w:rsidRDefault="00572C5A" w:rsidP="005B5DF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 épület</w:t>
            </w:r>
          </w:p>
        </w:tc>
      </w:tr>
      <w:tr w:rsidR="005B5DFD" w:rsidRPr="00572C5A" w:rsidTr="005B5DFD">
        <w:trPr>
          <w:trHeight w:val="302"/>
          <w:jc w:val="center"/>
        </w:trPr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tlag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50,31%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385623" w:themeFill="accent6" w:themeFillShade="80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71,14%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46,62%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44,12%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35,32%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538135" w:themeFill="accent6" w:themeFillShade="BF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68,54%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29,60%</w:t>
            </w:r>
          </w:p>
        </w:tc>
      </w:tr>
      <w:tr w:rsidR="005B5DFD" w:rsidRPr="00572C5A" w:rsidTr="005B5DFD">
        <w:trPr>
          <w:trHeight w:val="302"/>
          <w:jc w:val="center"/>
        </w:trPr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kihasználtsági mérték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70AD47" w:themeFill="accent6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385623" w:themeFill="accent6" w:themeFillShade="80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F7CAAC" w:themeFill="accent2" w:themeFillTint="66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közepesen kihasznált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F4B083" w:themeFill="accent2" w:themeFillTint="99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538135" w:themeFill="accent6" w:themeFillShade="BF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C45911" w:themeFill="accent2" w:themeFillShade="BF"/>
            <w:noWrap/>
            <w:vAlign w:val="bottom"/>
          </w:tcPr>
          <w:p w:rsidR="00572C5A" w:rsidRPr="00572C5A" w:rsidRDefault="00572C5A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kihasználatlan</w:t>
            </w:r>
          </w:p>
        </w:tc>
      </w:tr>
      <w:tr w:rsidR="005B5DFD" w:rsidRPr="00572C5A" w:rsidTr="005B5DFD">
        <w:trPr>
          <w:trHeight w:val="302"/>
          <w:jc w:val="center"/>
        </w:trPr>
        <w:tc>
          <w:tcPr>
            <w:tcW w:w="16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ax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imum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88,12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92,35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84,65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79,36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84,12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88,54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72C5A" w:rsidRPr="00572C5A" w:rsidRDefault="00B979DF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82,30</w:t>
            </w:r>
            <w:r w:rsidR="00572C5A" w:rsidRPr="00572C5A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</w:tr>
      <w:tr w:rsidR="005B5DFD" w:rsidRPr="00572C5A" w:rsidTr="005B5DFD">
        <w:trPr>
          <w:trHeight w:val="302"/>
          <w:jc w:val="center"/>
        </w:trPr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kihasználtsági mérték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2E74B5" w:themeFill="accent1" w:themeFillShade="BF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kihasznált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9CC2E5" w:themeFill="accent1" w:themeFillTint="99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kihasznált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teljesen kihasznált</w:t>
            </w:r>
          </w:p>
        </w:tc>
        <w:tc>
          <w:tcPr>
            <w:tcW w:w="13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72C5A" w:rsidRPr="00572C5A" w:rsidRDefault="005B5DFD" w:rsidP="005B5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kihasznált</w:t>
            </w:r>
          </w:p>
        </w:tc>
      </w:tr>
    </w:tbl>
    <w:p w:rsidR="00572C5A" w:rsidRDefault="00572C5A" w:rsidP="00B202FB">
      <w:pPr>
        <w:jc w:val="both"/>
      </w:pPr>
    </w:p>
    <w:p w:rsidR="000F0087" w:rsidRDefault="000F0087" w:rsidP="00B202FB">
      <w:pPr>
        <w:jc w:val="both"/>
      </w:pPr>
      <w:r>
        <w:t>Az átlag kihasználtság szerint csökkenő sorrendben láthatóak az épületek adatai:</w:t>
      </w:r>
    </w:p>
    <w:p w:rsidR="00041AF0" w:rsidRDefault="00830A75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71DA7415" wp14:editId="64A43932">
            <wp:extent cx="6008370" cy="2625090"/>
            <wp:effectExtent l="0" t="0" r="11430" b="3810"/>
            <wp:docPr id="38" name="Diagram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2C5A" w:rsidRDefault="00B979DF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0B331ED7" wp14:editId="4332D241">
            <wp:extent cx="5981700" cy="2743200"/>
            <wp:effectExtent l="0" t="0" r="0" b="0"/>
            <wp:docPr id="37" name="Diagra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79DF" w:rsidRDefault="00B979DF" w:rsidP="00B202FB">
      <w:pPr>
        <w:jc w:val="both"/>
      </w:pPr>
    </w:p>
    <w:p w:rsidR="00572C5A" w:rsidRDefault="00572C5A" w:rsidP="00B202FB">
      <w:pPr>
        <w:jc w:val="both"/>
      </w:pPr>
    </w:p>
    <w:p w:rsidR="00A374FA" w:rsidRDefault="00A374FA" w:rsidP="00B202FB">
      <w:pPr>
        <w:jc w:val="both"/>
      </w:pPr>
    </w:p>
    <w:p w:rsidR="0072363C" w:rsidRDefault="0072363C" w:rsidP="00686B02">
      <w:pPr>
        <w:pStyle w:val="Cmsor3"/>
      </w:pPr>
      <w:bookmarkStart w:id="7" w:name="_Toc515454130"/>
      <w:r w:rsidRPr="00530382">
        <w:t xml:space="preserve">Sárospataki </w:t>
      </w:r>
      <w:r w:rsidR="00AB3792">
        <w:t>Campus</w:t>
      </w:r>
      <w:r w:rsidR="00530382">
        <w:t>, Comenius Kar</w:t>
      </w:r>
      <w:bookmarkEnd w:id="7"/>
    </w:p>
    <w:p w:rsidR="00686B02" w:rsidRPr="00686B02" w:rsidRDefault="00686B02" w:rsidP="00686B02"/>
    <w:p w:rsidR="00530382" w:rsidRDefault="00530382" w:rsidP="00B202FB">
      <w:pPr>
        <w:jc w:val="both"/>
      </w:pPr>
      <w:r>
        <w:t>19 oktatási helyiség</w:t>
      </w:r>
      <w:r w:rsidR="00AB3792">
        <w:t xml:space="preserve"> található a S</w:t>
      </w:r>
      <w:r w:rsidR="00421C62">
        <w:t xml:space="preserve">árospataki </w:t>
      </w:r>
      <w:r w:rsidR="00AB3792">
        <w:t>Campus</w:t>
      </w:r>
      <w:r w:rsidR="00421C62">
        <w:t xml:space="preserve"> épületében, mely a 6 féléves átlagok alapján kihasználatlan épület 24,58%-</w:t>
      </w:r>
      <w:proofErr w:type="spellStart"/>
      <w:r w:rsidR="00421C62">
        <w:t>os</w:t>
      </w:r>
      <w:proofErr w:type="spellEnd"/>
      <w:r w:rsidR="00421C62">
        <w:t xml:space="preserve"> kihasználtsági aránnyal</w:t>
      </w:r>
      <w:r w:rsidR="00DC5E29">
        <w:t>; maximális kihasználtsági adatok mellett 66,89%-</w:t>
      </w:r>
      <w:proofErr w:type="spellStart"/>
      <w:r w:rsidR="00DC5E29">
        <w:t>os</w:t>
      </w:r>
      <w:proofErr w:type="spellEnd"/>
      <w:r w:rsidR="00DC5E29">
        <w:t>, kihasznált az épület</w:t>
      </w:r>
      <w:r w:rsidR="00421C62">
        <w:t>. A termekből mindössze 3 db közepesen kihasznált, 7 db kihasználatlan, 9 db teljesen kihasználatlan ez a termeknek a 47%-</w:t>
      </w:r>
      <w:proofErr w:type="gramStart"/>
      <w:r w:rsidR="00421C62">
        <w:t>a</w:t>
      </w:r>
      <w:proofErr w:type="gramEnd"/>
      <w:r w:rsidR="00421C62">
        <w:t>! Amikor a 6 féléves maximumok átlagát nézzük, akkor az épület 54,51%-</w:t>
      </w:r>
      <w:proofErr w:type="spellStart"/>
      <w:r w:rsidR="00421C62">
        <w:t>os</w:t>
      </w:r>
      <w:proofErr w:type="spellEnd"/>
      <w:r w:rsidR="00421C62">
        <w:t xml:space="preserve"> </w:t>
      </w:r>
      <w:proofErr w:type="spellStart"/>
      <w:r w:rsidR="00421C62">
        <w:t>kihasználtságot</w:t>
      </w:r>
      <w:proofErr w:type="spellEnd"/>
      <w:r w:rsidR="00421C62">
        <w:t xml:space="preserve"> mutat.</w:t>
      </w:r>
      <w:r w:rsidR="00B200CB">
        <w:t xml:space="preserve"> A 3 legkevésbé kihasznált termet 8,10-8,53%-</w:t>
      </w:r>
      <w:proofErr w:type="spellStart"/>
      <w:r w:rsidR="00B200CB">
        <w:t>os</w:t>
      </w:r>
      <w:proofErr w:type="spellEnd"/>
      <w:r w:rsidR="00B200CB">
        <w:t xml:space="preserve"> kihasználtság </w:t>
      </w:r>
      <w:proofErr w:type="spellStart"/>
      <w:r w:rsidR="00B200CB">
        <w:t>jellemzi</w:t>
      </w:r>
      <w:proofErr w:type="spellEnd"/>
      <w:r w:rsidR="00B200CB">
        <w:t>.</w:t>
      </w:r>
      <w:r w:rsidR="00157628">
        <w:t xml:space="preserve"> A leginkább használt terem a földszint 1-es terem, mely 51,58%-</w:t>
      </w:r>
      <w:proofErr w:type="spellStart"/>
      <w:r w:rsidR="00157628">
        <w:t>os</w:t>
      </w:r>
      <w:proofErr w:type="spellEnd"/>
      <w:r w:rsidR="00157628">
        <w:t xml:space="preserve"> kihasználtsággal vezet és így a közepesen kihasznált kategóriába sorolható.</w:t>
      </w:r>
    </w:p>
    <w:p w:rsidR="00B200CB" w:rsidRDefault="00B200CB" w:rsidP="00B202FB">
      <w:pPr>
        <w:jc w:val="both"/>
      </w:pPr>
      <w:r>
        <w:t>A legnagyobb óraszám, ezzel együtt a legjobb kihasználtság a 2015/16-os szemeszterben volt, majd a 2017/18-as oktatási évben a vizsgálat időszak első</w:t>
      </w:r>
      <w:r w:rsidR="0077781B">
        <w:t xml:space="preserve"> </w:t>
      </w:r>
      <w:proofErr w:type="spellStart"/>
      <w:r w:rsidR="0077781B">
        <w:t>félévénenk</w:t>
      </w:r>
      <w:proofErr w:type="spellEnd"/>
      <w:r>
        <w:t xml:space="preserve"> adatai alá süllyedt, tehát itt a legalacsonyabbak az óraszámok (átlag: 15,82 óra; </w:t>
      </w:r>
      <w:proofErr w:type="spellStart"/>
      <w:r>
        <w:t>max</w:t>
      </w:r>
      <w:proofErr w:type="spellEnd"/>
      <w:r>
        <w:t xml:space="preserve">: 31,86) és a kihasználtság is (átlag: 18,51%, </w:t>
      </w:r>
      <w:proofErr w:type="spellStart"/>
      <w:r>
        <w:t>max</w:t>
      </w:r>
      <w:proofErr w:type="spellEnd"/>
      <w:r>
        <w:t>: 44,25%).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2071"/>
        <w:gridCol w:w="2360"/>
      </w:tblGrid>
      <w:tr w:rsidR="00530382" w:rsidRPr="0072363C" w:rsidTr="00157628">
        <w:trPr>
          <w:trHeight w:val="300"/>
        </w:trPr>
        <w:tc>
          <w:tcPr>
            <w:tcW w:w="4920" w:type="dxa"/>
            <w:shd w:val="clear" w:color="auto" w:fill="4472C4" w:themeFill="accent5"/>
            <w:noWrap/>
            <w:vAlign w:val="center"/>
          </w:tcPr>
          <w:p w:rsidR="00530382" w:rsidRPr="00173ED4" w:rsidRDefault="00530382" w:rsidP="0053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Sárospatak</w:t>
            </w: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 terem száma</w:t>
            </w:r>
          </w:p>
        </w:tc>
        <w:tc>
          <w:tcPr>
            <w:tcW w:w="2071" w:type="dxa"/>
            <w:shd w:val="clear" w:color="auto" w:fill="4472C4" w:themeFill="accent5"/>
            <w:vAlign w:val="center"/>
          </w:tcPr>
          <w:p w:rsidR="00530382" w:rsidRPr="00421C62" w:rsidRDefault="00530382" w:rsidP="00530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421C62">
              <w:rPr>
                <w:rFonts w:ascii="Calibri" w:eastAsia="Times New Roman" w:hAnsi="Calibri" w:cs="Calibri"/>
                <w:b/>
                <w:lang w:eastAsia="hu-HU"/>
              </w:rPr>
              <w:t>Átlagos kihasználtsága</w:t>
            </w:r>
          </w:p>
        </w:tc>
        <w:tc>
          <w:tcPr>
            <w:tcW w:w="2360" w:type="dxa"/>
            <w:shd w:val="clear" w:color="auto" w:fill="4472C4" w:themeFill="accent5"/>
            <w:vAlign w:val="center"/>
          </w:tcPr>
          <w:p w:rsidR="00530382" w:rsidRPr="00157628" w:rsidRDefault="00530382" w:rsidP="00E4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Kihasználtság </w:t>
            </w:r>
            <w:r w:rsidR="00E41113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kategóriája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385623" w:themeFill="accent6" w:themeFillShade="80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1-es terem</w:t>
            </w:r>
          </w:p>
        </w:tc>
        <w:tc>
          <w:tcPr>
            <w:tcW w:w="2071" w:type="dxa"/>
            <w:shd w:val="clear" w:color="auto" w:fill="385623" w:themeFill="accent6" w:themeFillShade="80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51,58%</w:t>
            </w:r>
          </w:p>
        </w:tc>
        <w:tc>
          <w:tcPr>
            <w:tcW w:w="2360" w:type="dxa"/>
            <w:shd w:val="clear" w:color="auto" w:fill="385623" w:themeFill="accent6" w:themeFillShade="80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közepesen kihasznált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10-es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36,47%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10/B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24,16%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14-es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29,75%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15-ös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36,94%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20-as terem (Nagy Előadó)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9,66%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8D08D" w:themeFill="accent6" w:themeFillTint="99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27-es terem (Sötét folyosó)</w:t>
            </w:r>
          </w:p>
        </w:tc>
        <w:tc>
          <w:tcPr>
            <w:tcW w:w="2071" w:type="dxa"/>
            <w:shd w:val="clear" w:color="auto" w:fill="A8D08D" w:themeFill="accent6" w:themeFillTint="99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43,62%</w:t>
            </w:r>
          </w:p>
        </w:tc>
        <w:tc>
          <w:tcPr>
            <w:tcW w:w="2360" w:type="dxa"/>
            <w:shd w:val="clear" w:color="auto" w:fill="A8D08D" w:themeFill="accent6" w:themeFillTint="99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közepesen kihasznált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32-es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13,76%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B200CB">
        <w:trPr>
          <w:trHeight w:val="300"/>
        </w:trPr>
        <w:tc>
          <w:tcPr>
            <w:tcW w:w="4920" w:type="dxa"/>
            <w:shd w:val="clear" w:color="auto" w:fill="C45911" w:themeFill="accent2" w:themeFillShade="BF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Földszint 36-os terem</w:t>
            </w:r>
          </w:p>
        </w:tc>
        <w:tc>
          <w:tcPr>
            <w:tcW w:w="2071" w:type="dxa"/>
            <w:shd w:val="clear" w:color="auto" w:fill="C45911" w:themeFill="accent2" w:themeFillShade="BF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8,10%</w:t>
            </w:r>
          </w:p>
        </w:tc>
        <w:tc>
          <w:tcPr>
            <w:tcW w:w="2360" w:type="dxa"/>
            <w:shd w:val="clear" w:color="auto" w:fill="C45911" w:themeFill="accent2" w:themeFillShade="BF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46-os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37,27%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538135" w:themeFill="accent6" w:themeFillShade="BF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47-es terem</w:t>
            </w:r>
          </w:p>
        </w:tc>
        <w:tc>
          <w:tcPr>
            <w:tcW w:w="2071" w:type="dxa"/>
            <w:shd w:val="clear" w:color="auto" w:fill="538135" w:themeFill="accent6" w:themeFillShade="BF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48,70%</w:t>
            </w:r>
          </w:p>
        </w:tc>
        <w:tc>
          <w:tcPr>
            <w:tcW w:w="2360" w:type="dxa"/>
            <w:shd w:val="clear" w:color="auto" w:fill="538135" w:themeFill="accent6" w:themeFillShade="BF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közepesen kihasznált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55-ös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29,71%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Comenius I. Emelet 66-os terem 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8,97%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70-es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19,23%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B200CB">
        <w:trPr>
          <w:trHeight w:val="300"/>
        </w:trPr>
        <w:tc>
          <w:tcPr>
            <w:tcW w:w="4920" w:type="dxa"/>
            <w:shd w:val="clear" w:color="auto" w:fill="F7CAAC" w:themeFill="accent2" w:themeFillTint="66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71-es terem</w:t>
            </w:r>
          </w:p>
        </w:tc>
        <w:tc>
          <w:tcPr>
            <w:tcW w:w="2071" w:type="dxa"/>
            <w:shd w:val="clear" w:color="auto" w:fill="F7CAAC" w:themeFill="accent2" w:themeFillTint="66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8,53%</w:t>
            </w:r>
          </w:p>
        </w:tc>
        <w:tc>
          <w:tcPr>
            <w:tcW w:w="2360" w:type="dxa"/>
            <w:shd w:val="clear" w:color="auto" w:fill="F7CAAC" w:themeFill="accent2" w:themeFillTint="66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73-as terem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19,20%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B200CB">
        <w:trPr>
          <w:trHeight w:val="300"/>
        </w:trPr>
        <w:tc>
          <w:tcPr>
            <w:tcW w:w="4920" w:type="dxa"/>
            <w:shd w:val="clear" w:color="auto" w:fill="F4B083" w:themeFill="accent2" w:themeFillTint="99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I. Emelet 74-es terem</w:t>
            </w:r>
          </w:p>
        </w:tc>
        <w:tc>
          <w:tcPr>
            <w:tcW w:w="2071" w:type="dxa"/>
            <w:shd w:val="clear" w:color="auto" w:fill="F4B083" w:themeFill="accent2" w:themeFillTint="99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8,17%</w:t>
            </w:r>
          </w:p>
        </w:tc>
        <w:tc>
          <w:tcPr>
            <w:tcW w:w="2360" w:type="dxa"/>
            <w:shd w:val="clear" w:color="auto" w:fill="F4B083" w:themeFill="accent2" w:themeFillTint="99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Sipos terem könyvtár földszint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22,95%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kihasználatlan</w:t>
            </w:r>
          </w:p>
        </w:tc>
      </w:tr>
      <w:tr w:rsidR="00530382" w:rsidRPr="0072363C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530382" w:rsidRPr="0072363C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2363C">
              <w:rPr>
                <w:rFonts w:ascii="Calibri" w:eastAsia="Times New Roman" w:hAnsi="Calibri" w:cs="Calibri"/>
                <w:color w:val="000000"/>
                <w:lang w:eastAsia="hu-HU"/>
              </w:rPr>
              <w:t>Comenius Tornaterem Tetőtér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</w:rPr>
            </w:pPr>
            <w:r w:rsidRPr="00421C62">
              <w:rPr>
                <w:rFonts w:ascii="Calibri" w:hAnsi="Calibri" w:cs="Calibri"/>
              </w:rPr>
              <w:t>10,23%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421C62">
              <w:t>teljesen kihasználatlan</w:t>
            </w:r>
          </w:p>
        </w:tc>
      </w:tr>
      <w:tr w:rsidR="00530382" w:rsidRPr="00421C62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21C6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071" w:type="dxa"/>
            <w:vAlign w:val="bottom"/>
          </w:tcPr>
          <w:p w:rsidR="00530382" w:rsidRPr="00421C62" w:rsidRDefault="00530382" w:rsidP="0053038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21C62">
              <w:rPr>
                <w:rFonts w:ascii="Calibri" w:hAnsi="Calibri" w:cs="Calibri"/>
                <w:b/>
              </w:rPr>
              <w:t>24,58%</w:t>
            </w:r>
          </w:p>
        </w:tc>
        <w:tc>
          <w:tcPr>
            <w:tcW w:w="2360" w:type="dxa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421C62">
              <w:rPr>
                <w:b/>
              </w:rPr>
              <w:t>kihasználatlan</w:t>
            </w:r>
          </w:p>
        </w:tc>
      </w:tr>
      <w:tr w:rsidR="00530382" w:rsidRPr="00421C62" w:rsidTr="00421C62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:rsidR="00530382" w:rsidRPr="00421C62" w:rsidRDefault="00530382" w:rsidP="0053038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421C62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2071" w:type="dxa"/>
            <w:vAlign w:val="bottom"/>
          </w:tcPr>
          <w:p w:rsidR="00530382" w:rsidRPr="00421C62" w:rsidRDefault="00DC5E29" w:rsidP="00530382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66,89</w:t>
            </w:r>
            <w:r w:rsidR="00530382" w:rsidRPr="00421C62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2360" w:type="dxa"/>
          </w:tcPr>
          <w:p w:rsidR="00530382" w:rsidRPr="00421C62" w:rsidRDefault="00421C62" w:rsidP="0053038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421C62">
              <w:rPr>
                <w:b/>
              </w:rPr>
              <w:t>kihasznált</w:t>
            </w:r>
          </w:p>
        </w:tc>
      </w:tr>
    </w:tbl>
    <w:p w:rsidR="0072363C" w:rsidRDefault="0072363C" w:rsidP="00B202FB">
      <w:pPr>
        <w:jc w:val="both"/>
      </w:pPr>
    </w:p>
    <w:p w:rsidR="00DB05AD" w:rsidRDefault="00B200CB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0FB8F1A4" wp14:editId="451AD4E1">
            <wp:extent cx="5972175" cy="2085975"/>
            <wp:effectExtent l="0" t="0" r="9525" b="9525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B05AD" w:rsidRDefault="00DB05AD" w:rsidP="00B202FB">
      <w:pPr>
        <w:jc w:val="both"/>
      </w:pPr>
    </w:p>
    <w:p w:rsidR="00157628" w:rsidRDefault="00DC5E29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31658D56" wp14:editId="1FEBEEAA">
            <wp:extent cx="5772150" cy="3248025"/>
            <wp:effectExtent l="0" t="0" r="0" b="9525"/>
            <wp:docPr id="39" name="Diagram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86B02" w:rsidRDefault="00686B02" w:rsidP="00B202FB">
      <w:pPr>
        <w:jc w:val="both"/>
      </w:pPr>
    </w:p>
    <w:p w:rsidR="00157628" w:rsidRDefault="00157628" w:rsidP="00686B02">
      <w:pPr>
        <w:pStyle w:val="Cmsor3"/>
      </w:pPr>
      <w:bookmarkStart w:id="8" w:name="_Toc515454131"/>
      <w:r w:rsidRPr="00157628">
        <w:t xml:space="preserve">Gyöngyösi </w:t>
      </w:r>
      <w:r w:rsidR="00AB3792">
        <w:t>Campus</w:t>
      </w:r>
      <w:r w:rsidR="00686B02">
        <w:t>, Agrár</w:t>
      </w:r>
      <w:r w:rsidR="00AB3792">
        <w:t>tudományi</w:t>
      </w:r>
      <w:r w:rsidR="00686B02">
        <w:t>-és Vidékfejlesztési Kar</w:t>
      </w:r>
      <w:bookmarkEnd w:id="8"/>
    </w:p>
    <w:p w:rsidR="00686B02" w:rsidRPr="00686B02" w:rsidRDefault="00686B02" w:rsidP="00686B02"/>
    <w:p w:rsidR="00157628" w:rsidRDefault="00157628" w:rsidP="00B202FB">
      <w:pPr>
        <w:jc w:val="both"/>
      </w:pPr>
      <w:r>
        <w:t xml:space="preserve">Az Eszterházy Károly Egyetem második legnagyobb </w:t>
      </w:r>
      <w:r w:rsidR="00AB3792">
        <w:t>Campus</w:t>
      </w:r>
      <w:r>
        <w:t xml:space="preserve">a a gyöngyösi, mely az Agrár- és Vidékfejlesztési Kar központja is egyben. </w:t>
      </w:r>
      <w:r w:rsidR="0077781B">
        <w:t xml:space="preserve">A </w:t>
      </w:r>
      <w:r w:rsidR="00AB3792">
        <w:t>kampusz</w:t>
      </w:r>
      <w:r w:rsidR="0077781B">
        <w:t xml:space="preserve"> termeinek foglaltságát 2016/17/1 félévétől tudjuk vizsgálni, ekkortól állnak rendelkezésünkre adatok. </w:t>
      </w:r>
      <w:r w:rsidR="00AB3792">
        <w:t>Az épület</w:t>
      </w:r>
      <w:r>
        <w:t xml:space="preserve"> 36 oktatóhelyiséggel rendelkezik, ebből 14 számítógépes terem, melyek 4 féléves kihasználtsági átlagot tekintve 31,19%-</w:t>
      </w:r>
      <w:proofErr w:type="spellStart"/>
      <w:r>
        <w:t>os</w:t>
      </w:r>
      <w:proofErr w:type="spellEnd"/>
      <w:r>
        <w:t xml:space="preserve"> (kihasználatlan) </w:t>
      </w:r>
      <w:proofErr w:type="spellStart"/>
      <w:r>
        <w:t>kihasználtságot</w:t>
      </w:r>
      <w:proofErr w:type="spellEnd"/>
      <w:r>
        <w:t xml:space="preserve"> mutatnak, a maxi</w:t>
      </w:r>
      <w:r w:rsidR="00F35180">
        <w:t>mum kihasználtságok átlaga 79,47</w:t>
      </w:r>
      <w:r>
        <w:t>%-</w:t>
      </w:r>
      <w:proofErr w:type="spellStart"/>
      <w:r>
        <w:t>os</w:t>
      </w:r>
      <w:proofErr w:type="spellEnd"/>
      <w:r>
        <w:t xml:space="preserve"> (kihasznált).</w:t>
      </w:r>
    </w:p>
    <w:p w:rsidR="00BE0A18" w:rsidRDefault="00BE0A18" w:rsidP="00B202FB">
      <w:pPr>
        <w:jc w:val="both"/>
      </w:pPr>
      <w:r>
        <w:t>A 3 legjobban kihasznált terem a 206-os (58,68%), a 201-es (52,32%) és a 212-es (51,25%), melyek a közepesen kihasznált kategóriába kerültek. A legkevésbé használt terem a III. előadó, mely 3,10%-</w:t>
      </w:r>
      <w:proofErr w:type="spellStart"/>
      <w:r>
        <w:t>ban</w:t>
      </w:r>
      <w:proofErr w:type="spellEnd"/>
      <w:r>
        <w:t xml:space="preserve"> használt oktatási terem, a következő a C 101-es 7,4%-</w:t>
      </w:r>
      <w:proofErr w:type="spellStart"/>
      <w:r>
        <w:t>os</w:t>
      </w:r>
      <w:proofErr w:type="spellEnd"/>
      <w:r>
        <w:t xml:space="preserve">, majd a </w:t>
      </w:r>
      <w:r w:rsidR="003B1A7A">
        <w:t>C 103 8,55%-</w:t>
      </w:r>
      <w:proofErr w:type="spellStart"/>
      <w:r w:rsidR="003B1A7A">
        <w:t>os</w:t>
      </w:r>
      <w:proofErr w:type="spellEnd"/>
      <w:r w:rsidR="003B1A7A">
        <w:t>, teljesen kihasználatlan kategóriában.</w:t>
      </w:r>
    </w:p>
    <w:p w:rsidR="003B1A7A" w:rsidRDefault="003B1A7A" w:rsidP="00B202FB">
      <w:pPr>
        <w:jc w:val="both"/>
      </w:pPr>
      <w:r>
        <w:t>Teljesen kihasználatlan termek száma: 10 db (27,7%)</w:t>
      </w:r>
    </w:p>
    <w:p w:rsidR="003B1A7A" w:rsidRDefault="003B1A7A" w:rsidP="00686B02">
      <w:pPr>
        <w:spacing w:after="0"/>
        <w:jc w:val="both"/>
      </w:pPr>
      <w:r>
        <w:lastRenderedPageBreak/>
        <w:t>Kihasználatlan termek száma: 15 db (41,6%)</w:t>
      </w:r>
    </w:p>
    <w:p w:rsidR="003B1A7A" w:rsidRDefault="003B1A7A" w:rsidP="00686B02">
      <w:pPr>
        <w:spacing w:after="0"/>
        <w:jc w:val="both"/>
      </w:pPr>
      <w:r>
        <w:t>Közepesen kihasznált termek száma: 11 db (30,5%)</w:t>
      </w:r>
    </w:p>
    <w:p w:rsidR="0077781B" w:rsidRDefault="0077781B" w:rsidP="00B202FB">
      <w:pPr>
        <w:jc w:val="both"/>
      </w:pPr>
      <w:r>
        <w:t>A vizsgált 4 félévben mind az átlagos, mind a maximális óraszámok csökkenést mutatnak; az átlagóraszámok tekintetében 2,4 órával, a maximum óraszámok esetén 7,92 órával adnak kevesebbet a vizsgált időszak utolsó félévében, az elsőhöz képest.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2484"/>
        <w:gridCol w:w="2484"/>
      </w:tblGrid>
      <w:tr w:rsidR="00157628" w:rsidRPr="00157628" w:rsidTr="00157628">
        <w:trPr>
          <w:trHeight w:val="300"/>
        </w:trPr>
        <w:tc>
          <w:tcPr>
            <w:tcW w:w="4094" w:type="dxa"/>
            <w:shd w:val="clear" w:color="auto" w:fill="4472C4" w:themeFill="accent5"/>
            <w:noWrap/>
            <w:vAlign w:val="center"/>
          </w:tcPr>
          <w:p w:rsidR="00157628" w:rsidRPr="00173ED4" w:rsidRDefault="00157628" w:rsidP="0015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Gyöngyös</w:t>
            </w: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 terem száma</w:t>
            </w:r>
          </w:p>
        </w:tc>
        <w:tc>
          <w:tcPr>
            <w:tcW w:w="2484" w:type="dxa"/>
            <w:shd w:val="clear" w:color="auto" w:fill="4472C4" w:themeFill="accent5"/>
            <w:vAlign w:val="center"/>
          </w:tcPr>
          <w:p w:rsidR="00157628" w:rsidRPr="004F276C" w:rsidRDefault="00157628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4F276C">
              <w:rPr>
                <w:rFonts w:ascii="Calibri" w:eastAsia="Times New Roman" w:hAnsi="Calibri" w:cs="Calibri"/>
                <w:b/>
                <w:lang w:eastAsia="hu-HU"/>
              </w:rPr>
              <w:t>Átlagos kihasználtsága</w:t>
            </w:r>
          </w:p>
        </w:tc>
        <w:tc>
          <w:tcPr>
            <w:tcW w:w="2484" w:type="dxa"/>
            <w:shd w:val="clear" w:color="auto" w:fill="4472C4" w:themeFill="accent5"/>
            <w:vAlign w:val="center"/>
          </w:tcPr>
          <w:p w:rsidR="00157628" w:rsidRPr="004F276C" w:rsidRDefault="00157628" w:rsidP="00E4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4F276C">
              <w:rPr>
                <w:rFonts w:ascii="Calibri" w:eastAsia="Times New Roman" w:hAnsi="Calibri" w:cs="Calibri"/>
                <w:b/>
                <w:lang w:eastAsia="hu-HU"/>
              </w:rPr>
              <w:t xml:space="preserve">Kihasználtság </w:t>
            </w:r>
            <w:r w:rsidR="00E41113">
              <w:rPr>
                <w:rFonts w:ascii="Calibri" w:eastAsia="Times New Roman" w:hAnsi="Calibri" w:cs="Calibri"/>
                <w:b/>
                <w:lang w:eastAsia="hu-HU"/>
              </w:rPr>
              <w:t>kategóriája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I. előadó (A ép.) (58 fő+21)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30,27%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II. előadó (A ép.) (112 fő+27)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22,18%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4F276C">
        <w:trPr>
          <w:trHeight w:val="300"/>
        </w:trPr>
        <w:tc>
          <w:tcPr>
            <w:tcW w:w="4094" w:type="dxa"/>
            <w:shd w:val="clear" w:color="auto" w:fill="C45911" w:themeFill="accent2" w:themeFillShade="BF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III. előadó (A ép.) (113 fő)</w:t>
            </w:r>
          </w:p>
        </w:tc>
        <w:tc>
          <w:tcPr>
            <w:tcW w:w="2484" w:type="dxa"/>
            <w:shd w:val="clear" w:color="auto" w:fill="C45911" w:themeFill="accent2" w:themeFillShade="BF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3,10%</w:t>
            </w:r>
          </w:p>
        </w:tc>
        <w:tc>
          <w:tcPr>
            <w:tcW w:w="2484" w:type="dxa"/>
            <w:shd w:val="clear" w:color="auto" w:fill="C45911" w:themeFill="accent2" w:themeFillShade="BF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Vági terem (volt IV. előadó) (A ép.) (59 fő+21)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17,62%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4F276C" w:rsidRPr="00157628" w:rsidTr="00BE0A18">
        <w:trPr>
          <w:trHeight w:val="300"/>
        </w:trPr>
        <w:tc>
          <w:tcPr>
            <w:tcW w:w="4094" w:type="dxa"/>
            <w:shd w:val="clear" w:color="auto" w:fill="538135" w:themeFill="accent6" w:themeFillShade="BF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2.201. szeminárium (20 fő)</w:t>
            </w:r>
          </w:p>
        </w:tc>
        <w:tc>
          <w:tcPr>
            <w:tcW w:w="2484" w:type="dxa"/>
            <w:shd w:val="clear" w:color="auto" w:fill="538135" w:themeFill="accent6" w:themeFillShade="BF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52,32%</w:t>
            </w:r>
          </w:p>
        </w:tc>
        <w:tc>
          <w:tcPr>
            <w:tcW w:w="2484" w:type="dxa"/>
            <w:shd w:val="clear" w:color="auto" w:fill="538135" w:themeFill="accent6" w:themeFillShade="BF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4F276C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2.202. szeminárium (60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47,59%</w:t>
            </w:r>
          </w:p>
        </w:tc>
        <w:tc>
          <w:tcPr>
            <w:tcW w:w="2484" w:type="dxa"/>
            <w:shd w:val="clear" w:color="auto" w:fill="FFFFFF" w:themeFill="background1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2.203. szeminárium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(40 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+ 29 szék)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31,26%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4F276C" w:rsidRPr="00157628" w:rsidTr="00BE0A18">
        <w:trPr>
          <w:trHeight w:val="300"/>
        </w:trPr>
        <w:tc>
          <w:tcPr>
            <w:tcW w:w="4094" w:type="dxa"/>
            <w:shd w:val="clear" w:color="auto" w:fill="385623" w:themeFill="accent6" w:themeFillShade="80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2.206. szeminárium (60 fő)</w:t>
            </w:r>
          </w:p>
        </w:tc>
        <w:tc>
          <w:tcPr>
            <w:tcW w:w="2484" w:type="dxa"/>
            <w:shd w:val="clear" w:color="auto" w:fill="385623" w:themeFill="accent6" w:themeFillShade="80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58,68%</w:t>
            </w:r>
          </w:p>
        </w:tc>
        <w:tc>
          <w:tcPr>
            <w:tcW w:w="2484" w:type="dxa"/>
            <w:shd w:val="clear" w:color="auto" w:fill="385623" w:themeFill="accent6" w:themeFillShade="80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4F276C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2.207. szeminárium (60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45,49%</w:t>
            </w:r>
          </w:p>
        </w:tc>
        <w:tc>
          <w:tcPr>
            <w:tcW w:w="2484" w:type="dxa"/>
            <w:shd w:val="clear" w:color="auto" w:fill="FFFFFF" w:themeFill="background1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4F276C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2.208. szeminárium (60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46,25%</w:t>
            </w:r>
          </w:p>
        </w:tc>
        <w:tc>
          <w:tcPr>
            <w:tcW w:w="2484" w:type="dxa"/>
            <w:shd w:val="clear" w:color="auto" w:fill="FFFFFF" w:themeFill="background1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2.209. szeminárium (60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37,95%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2.210. szeminárium 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Fogyt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(20 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38,06%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4F276C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2.211. szeminárium (48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50,12%</w:t>
            </w:r>
          </w:p>
        </w:tc>
        <w:tc>
          <w:tcPr>
            <w:tcW w:w="2484" w:type="dxa"/>
            <w:shd w:val="clear" w:color="auto" w:fill="FFFFFF" w:themeFill="background1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4F276C" w:rsidRPr="00157628" w:rsidTr="00BE0A18">
        <w:trPr>
          <w:trHeight w:val="300"/>
        </w:trPr>
        <w:tc>
          <w:tcPr>
            <w:tcW w:w="4094" w:type="dxa"/>
            <w:shd w:val="clear" w:color="auto" w:fill="A8D08D" w:themeFill="accent6" w:themeFillTint="99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2.212. szeminárium (48 fő)</w:t>
            </w:r>
          </w:p>
        </w:tc>
        <w:tc>
          <w:tcPr>
            <w:tcW w:w="2484" w:type="dxa"/>
            <w:shd w:val="clear" w:color="auto" w:fill="A8D08D" w:themeFill="accent6" w:themeFillTint="99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51,25%</w:t>
            </w:r>
          </w:p>
        </w:tc>
        <w:tc>
          <w:tcPr>
            <w:tcW w:w="2484" w:type="dxa"/>
            <w:shd w:val="clear" w:color="auto" w:fill="A8D08D" w:themeFill="accent6" w:themeFillTint="99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4F276C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2.213. szeminárium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(40 szg+21 szék)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49,79%</w:t>
            </w:r>
          </w:p>
        </w:tc>
        <w:tc>
          <w:tcPr>
            <w:tcW w:w="2484" w:type="dxa"/>
            <w:shd w:val="clear" w:color="auto" w:fill="FFFFFF" w:themeFill="background1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4F276C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4F276C" w:rsidRPr="00157628" w:rsidRDefault="004F276C" w:rsidP="004F2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2.214. szeminárium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(40 szg+12 szék)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4F276C" w:rsidRPr="004F276C" w:rsidRDefault="004F276C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40,62%</w:t>
            </w:r>
          </w:p>
        </w:tc>
        <w:tc>
          <w:tcPr>
            <w:tcW w:w="2484" w:type="dxa"/>
            <w:shd w:val="clear" w:color="auto" w:fill="FFFFFF" w:themeFill="background1"/>
          </w:tcPr>
          <w:p w:rsidR="004F276C" w:rsidRPr="004F276C" w:rsidRDefault="004F276C" w:rsidP="004F276C">
            <w:pPr>
              <w:spacing w:after="0"/>
              <w:jc w:val="center"/>
            </w:pPr>
            <w:r w:rsidRPr="004F276C">
              <w:t>közepesen kihasznált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2.216. szeminárium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(40 szg+10 szék)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35,36%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2.217. szeminárium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(40 szg+10 szék)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39,77%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2.218. szeminárium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) (30 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36,35%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3.201.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szeminárium g (25 gép)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12,10%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3.202.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szeminárium (15 gép)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24,90%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3.203. szeminárium (32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48,30%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közepesen kihasznált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3.204. szeminárium (20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39,02%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3.205. szeminárium (22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26,59%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3.301.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szeminárium (25 gép)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22,90%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3.302.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szeminárium (35 gép)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25,61%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3.303. szeminárium (20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29,70%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3.304. szeminárium (18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45,81%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közepesen kihasznált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3.305. szeminárium (12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34,16%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C001. terem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(C 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15,67%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C002. terem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(C 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13,24%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C003. terem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(C ép)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13,27%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4F276C">
        <w:trPr>
          <w:trHeight w:val="300"/>
        </w:trPr>
        <w:tc>
          <w:tcPr>
            <w:tcW w:w="4094" w:type="dxa"/>
            <w:shd w:val="clear" w:color="auto" w:fill="F4B083" w:themeFill="accent2" w:themeFillTint="99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C101. terem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(C ép) (G</w:t>
            </w:r>
            <w:proofErr w:type="gram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.C.</w:t>
            </w:r>
            <w:proofErr w:type="gram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I.C101)</w:t>
            </w:r>
          </w:p>
        </w:tc>
        <w:tc>
          <w:tcPr>
            <w:tcW w:w="2484" w:type="dxa"/>
            <w:shd w:val="clear" w:color="auto" w:fill="F4B083" w:themeFill="accent2" w:themeFillTint="99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7,40%</w:t>
            </w:r>
          </w:p>
        </w:tc>
        <w:tc>
          <w:tcPr>
            <w:tcW w:w="2484" w:type="dxa"/>
            <w:shd w:val="clear" w:color="auto" w:fill="F4B083" w:themeFill="accent2" w:themeFillTint="99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C102. terem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(C ép) (G</w:t>
            </w:r>
            <w:proofErr w:type="gram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.C.</w:t>
            </w:r>
            <w:proofErr w:type="gram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I.C102)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10,73%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4F276C">
        <w:trPr>
          <w:trHeight w:val="300"/>
        </w:trPr>
        <w:tc>
          <w:tcPr>
            <w:tcW w:w="4094" w:type="dxa"/>
            <w:shd w:val="clear" w:color="auto" w:fill="F7CAAC" w:themeFill="accent2" w:themeFillTint="66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C103. terem (</w:t>
            </w:r>
            <w:proofErr w:type="spellStart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) (C ép)</w:t>
            </w:r>
          </w:p>
        </w:tc>
        <w:tc>
          <w:tcPr>
            <w:tcW w:w="2484" w:type="dxa"/>
            <w:shd w:val="clear" w:color="auto" w:fill="F7CAAC" w:themeFill="accent2" w:themeFillTint="66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8,55%</w:t>
            </w:r>
          </w:p>
        </w:tc>
        <w:tc>
          <w:tcPr>
            <w:tcW w:w="2484" w:type="dxa"/>
            <w:shd w:val="clear" w:color="auto" w:fill="F7CAAC" w:themeFill="accent2" w:themeFillTint="66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157628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  <w:hideMark/>
          </w:tcPr>
          <w:p w:rsidR="00157628" w:rsidRPr="00157628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7628">
              <w:rPr>
                <w:rFonts w:ascii="Calibri" w:eastAsia="Times New Roman" w:hAnsi="Calibri" w:cs="Calibri"/>
                <w:color w:val="000000"/>
                <w:lang w:eastAsia="hu-HU"/>
              </w:rPr>
              <w:t>Kémiai Laboratórium (L ép.) (20 fő)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4F276C" w:rsidRDefault="00157628" w:rsidP="004F276C">
            <w:pPr>
              <w:spacing w:after="0"/>
              <w:jc w:val="center"/>
              <w:rPr>
                <w:rFonts w:ascii="Calibri" w:hAnsi="Calibri" w:cs="Calibri"/>
              </w:rPr>
            </w:pPr>
            <w:r w:rsidRPr="004F276C">
              <w:rPr>
                <w:rFonts w:ascii="Calibri" w:hAnsi="Calibri" w:cs="Calibri"/>
              </w:rPr>
              <w:t>9,03%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4F276C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F276C">
              <w:t>teljesen kihasználatlan</w:t>
            </w:r>
          </w:p>
        </w:tc>
      </w:tr>
      <w:tr w:rsidR="00157628" w:rsidRPr="003B1A7A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</w:tcPr>
          <w:p w:rsidR="00157628" w:rsidRPr="003B1A7A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B1A7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3B1A7A" w:rsidRDefault="00157628" w:rsidP="004F276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B1A7A">
              <w:rPr>
                <w:rFonts w:ascii="Calibri" w:hAnsi="Calibri" w:cs="Calibri"/>
                <w:b/>
              </w:rPr>
              <w:t>31,19%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3B1A7A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3B1A7A">
              <w:rPr>
                <w:rFonts w:ascii="Calibri" w:eastAsia="Times New Roman" w:hAnsi="Calibri" w:cs="Calibri"/>
                <w:b/>
                <w:lang w:eastAsia="hu-HU"/>
              </w:rPr>
              <w:t>kihasználatlan</w:t>
            </w:r>
          </w:p>
        </w:tc>
      </w:tr>
      <w:tr w:rsidR="00157628" w:rsidRPr="003B1A7A" w:rsidTr="00F034AB">
        <w:trPr>
          <w:trHeight w:val="300"/>
        </w:trPr>
        <w:tc>
          <w:tcPr>
            <w:tcW w:w="4094" w:type="dxa"/>
            <w:shd w:val="clear" w:color="auto" w:fill="FFFFFF" w:themeFill="background1"/>
            <w:noWrap/>
            <w:vAlign w:val="bottom"/>
          </w:tcPr>
          <w:p w:rsidR="00157628" w:rsidRPr="003B1A7A" w:rsidRDefault="00157628" w:rsidP="001576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3B1A7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Maximum</w:t>
            </w:r>
          </w:p>
        </w:tc>
        <w:tc>
          <w:tcPr>
            <w:tcW w:w="2484" w:type="dxa"/>
            <w:shd w:val="clear" w:color="auto" w:fill="FFFFFF" w:themeFill="background1"/>
            <w:vAlign w:val="bottom"/>
          </w:tcPr>
          <w:p w:rsidR="00157628" w:rsidRPr="003B1A7A" w:rsidRDefault="003E64D9" w:rsidP="004F276C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79,47</w:t>
            </w:r>
            <w:r w:rsidR="00157628" w:rsidRPr="003B1A7A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2484" w:type="dxa"/>
            <w:shd w:val="clear" w:color="auto" w:fill="FFFFFF" w:themeFill="background1"/>
          </w:tcPr>
          <w:p w:rsidR="00157628" w:rsidRPr="003B1A7A" w:rsidRDefault="004F276C" w:rsidP="004F2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3B1A7A">
              <w:rPr>
                <w:rFonts w:ascii="Calibri" w:eastAsia="Times New Roman" w:hAnsi="Calibri" w:cs="Calibri"/>
                <w:b/>
                <w:lang w:eastAsia="hu-HU"/>
              </w:rPr>
              <w:t>kihasznált</w:t>
            </w:r>
          </w:p>
        </w:tc>
      </w:tr>
    </w:tbl>
    <w:p w:rsidR="001E2045" w:rsidRDefault="001E2045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392FC21B" wp14:editId="7836512F">
            <wp:extent cx="5943600" cy="3171825"/>
            <wp:effectExtent l="0" t="0" r="0" b="9525"/>
            <wp:docPr id="40" name="Diagram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C7DB4" w:rsidRDefault="007C7DB4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56D56DEF" wp14:editId="54E75F63">
            <wp:extent cx="5886450" cy="2743200"/>
            <wp:effectExtent l="0" t="0" r="0" b="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C7DB4" w:rsidRDefault="007C7DB4" w:rsidP="00B202FB">
      <w:pPr>
        <w:jc w:val="both"/>
      </w:pPr>
    </w:p>
    <w:p w:rsidR="00D6386B" w:rsidRDefault="00D6386B" w:rsidP="00B202FB">
      <w:pPr>
        <w:jc w:val="both"/>
      </w:pPr>
    </w:p>
    <w:p w:rsidR="00D6386B" w:rsidRDefault="00D6386B" w:rsidP="00686B02">
      <w:pPr>
        <w:pStyle w:val="Cmsor3"/>
      </w:pPr>
      <w:bookmarkStart w:id="9" w:name="_Toc515454132"/>
      <w:r w:rsidRPr="00F034AB">
        <w:t>Jászberény</w:t>
      </w:r>
      <w:r w:rsidR="0054062E">
        <w:t xml:space="preserve">i </w:t>
      </w:r>
      <w:r w:rsidR="00AB3792">
        <w:t>Campus</w:t>
      </w:r>
      <w:bookmarkEnd w:id="9"/>
    </w:p>
    <w:p w:rsidR="00686B02" w:rsidRPr="00686B02" w:rsidRDefault="00686B02" w:rsidP="00686B02"/>
    <w:p w:rsidR="00D6386B" w:rsidRDefault="00AB3792" w:rsidP="00B202FB">
      <w:pPr>
        <w:jc w:val="both"/>
      </w:pPr>
      <w:r>
        <w:t>A J</w:t>
      </w:r>
      <w:r w:rsidR="00D6386B">
        <w:t xml:space="preserve">ászberényi </w:t>
      </w:r>
      <w:r>
        <w:t>Campus</w:t>
      </w:r>
      <w:r w:rsidR="00D6386B">
        <w:t xml:space="preserve"> adatai szintén 2016/17/1 félévtől állnak rendelkezésre, itt 19 tanter</w:t>
      </w:r>
      <w:r w:rsidR="00F034AB">
        <w:t>e</w:t>
      </w:r>
      <w:r w:rsidR="00D6386B">
        <w:t xml:space="preserve">mben folyik az oktatás, ebből 2 számítógépes terem. </w:t>
      </w:r>
      <w:r w:rsidR="00F034AB">
        <w:t>Az épület átlagos kihasználtsága 4 félév átlagait összesítve 25,56%-</w:t>
      </w:r>
      <w:proofErr w:type="spellStart"/>
      <w:r w:rsidR="00F034AB">
        <w:t>os</w:t>
      </w:r>
      <w:proofErr w:type="spellEnd"/>
      <w:r w:rsidR="00F034AB">
        <w:t xml:space="preserve"> (kihasználatlan), a maximális ki</w:t>
      </w:r>
      <w:r w:rsidR="00792192">
        <w:t>használtság átlagaival 64,13</w:t>
      </w:r>
      <w:r w:rsidR="00F034AB">
        <w:t>%-</w:t>
      </w:r>
      <w:proofErr w:type="spellStart"/>
      <w:r w:rsidR="00F034AB">
        <w:t>os</w:t>
      </w:r>
      <w:proofErr w:type="spellEnd"/>
      <w:r w:rsidR="00F034AB">
        <w:t xml:space="preserve"> (kihasznált) az ingatlan.</w:t>
      </w:r>
    </w:p>
    <w:p w:rsidR="00F034AB" w:rsidRDefault="00F034AB" w:rsidP="00B202FB">
      <w:pPr>
        <w:jc w:val="both"/>
      </w:pPr>
      <w:r>
        <w:t xml:space="preserve">A </w:t>
      </w:r>
      <w:r w:rsidR="00AB3792">
        <w:t>Campus</w:t>
      </w:r>
      <w:r>
        <w:t xml:space="preserve"> leginkább használt terme a 107-es, mely 49,60%-</w:t>
      </w:r>
      <w:proofErr w:type="spellStart"/>
      <w:r>
        <w:t>os</w:t>
      </w:r>
      <w:proofErr w:type="spellEnd"/>
      <w:r>
        <w:t xml:space="preserve"> </w:t>
      </w:r>
      <w:proofErr w:type="spellStart"/>
      <w:r>
        <w:t>kihasználtságot</w:t>
      </w:r>
      <w:proofErr w:type="spellEnd"/>
      <w:r>
        <w:t xml:space="preserve"> mutat, majd a 108-as 41,04%-</w:t>
      </w:r>
      <w:proofErr w:type="spellStart"/>
      <w:r>
        <w:t>kal</w:t>
      </w:r>
      <w:proofErr w:type="spellEnd"/>
      <w:r>
        <w:t>, és a 131-es 40,91%-</w:t>
      </w:r>
      <w:proofErr w:type="spellStart"/>
      <w:r>
        <w:t>kal</w:t>
      </w:r>
      <w:proofErr w:type="spellEnd"/>
      <w:r w:rsidR="0008415F">
        <w:t>, kategóriájukat tekintve közepesen kihasználtak.</w:t>
      </w:r>
      <w:r w:rsidR="00F55830">
        <w:t xml:space="preserve"> A legkevésbé </w:t>
      </w:r>
      <w:r w:rsidR="00F55830">
        <w:lastRenderedPageBreak/>
        <w:t>használt terem a 114-es 2,81%-</w:t>
      </w:r>
      <w:proofErr w:type="spellStart"/>
      <w:r w:rsidR="00F55830">
        <w:t>os</w:t>
      </w:r>
      <w:proofErr w:type="spellEnd"/>
      <w:proofErr w:type="gramStart"/>
      <w:r w:rsidR="00F55830">
        <w:t>!!!</w:t>
      </w:r>
      <w:proofErr w:type="gramEnd"/>
      <w:r w:rsidR="00F55830">
        <w:t xml:space="preserve"> </w:t>
      </w:r>
      <w:proofErr w:type="gramStart"/>
      <w:r w:rsidR="00F55830">
        <w:t>kihasználtsággal</w:t>
      </w:r>
      <w:proofErr w:type="gramEnd"/>
      <w:r w:rsidR="00F55830">
        <w:t>, a következő a 135-ös 6,19%-</w:t>
      </w:r>
      <w:proofErr w:type="spellStart"/>
      <w:r w:rsidR="00F55830">
        <w:t>kal</w:t>
      </w:r>
      <w:proofErr w:type="spellEnd"/>
      <w:r w:rsidR="00F55830">
        <w:t>, majd ezt követi a 136-os 10,34%-</w:t>
      </w:r>
      <w:proofErr w:type="spellStart"/>
      <w:r w:rsidR="00F55830">
        <w:t>kal</w:t>
      </w:r>
      <w:proofErr w:type="spellEnd"/>
      <w:r w:rsidR="00F55830">
        <w:t>.</w:t>
      </w:r>
    </w:p>
    <w:p w:rsidR="003D036D" w:rsidRDefault="003D036D" w:rsidP="00B202FB">
      <w:pPr>
        <w:jc w:val="both"/>
      </w:pPr>
      <w:r>
        <w:t xml:space="preserve">Érdekességképpen a </w:t>
      </w:r>
      <w:r w:rsidR="00AB3792">
        <w:t>kampusz</w:t>
      </w:r>
      <w:r>
        <w:t xml:space="preserve"> teremkihasználtságai csütörtök – péntek – szombati napokon mutatnak legnagyobb </w:t>
      </w:r>
      <w:proofErr w:type="spellStart"/>
      <w:r w:rsidR="00AB3792">
        <w:t>foglaltságot</w:t>
      </w:r>
      <w:proofErr w:type="spellEnd"/>
      <w:r>
        <w:t>, mely a levelezős órák túlsúlyát jelentheti.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2551"/>
      </w:tblGrid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4472C4" w:themeFill="accent5"/>
            <w:noWrap/>
            <w:vAlign w:val="center"/>
          </w:tcPr>
          <w:p w:rsidR="00F034AB" w:rsidRPr="00173ED4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Jászberény</w:t>
            </w:r>
            <w:r w:rsidRPr="0017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 terem száma</w:t>
            </w:r>
          </w:p>
        </w:tc>
        <w:tc>
          <w:tcPr>
            <w:tcW w:w="2835" w:type="dxa"/>
            <w:shd w:val="clear" w:color="auto" w:fill="4472C4" w:themeFill="accent5"/>
            <w:vAlign w:val="center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lang w:eastAsia="hu-HU"/>
              </w:rPr>
              <w:t>Átlagos kihasználtsága</w:t>
            </w:r>
          </w:p>
        </w:tc>
        <w:tc>
          <w:tcPr>
            <w:tcW w:w="2551" w:type="dxa"/>
            <w:shd w:val="clear" w:color="auto" w:fill="4472C4" w:themeFill="accent5"/>
            <w:vAlign w:val="center"/>
          </w:tcPr>
          <w:p w:rsidR="00F034AB" w:rsidRPr="00F034AB" w:rsidRDefault="00F034AB" w:rsidP="00E41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lang w:eastAsia="hu-HU"/>
              </w:rPr>
              <w:t xml:space="preserve">Kihasználtság </w:t>
            </w:r>
            <w:r w:rsidR="00E41113">
              <w:rPr>
                <w:rFonts w:ascii="Calibri" w:eastAsia="Times New Roman" w:hAnsi="Calibri" w:cs="Calibri"/>
                <w:b/>
                <w:lang w:eastAsia="hu-HU"/>
              </w:rPr>
              <w:t>kategóriája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JT_022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27,05%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JT_026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21,70%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JT_100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19,63%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teljesen 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385623" w:themeFill="accent6" w:themeFillShade="80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JT_107</w:t>
            </w:r>
          </w:p>
        </w:tc>
        <w:tc>
          <w:tcPr>
            <w:tcW w:w="2835" w:type="dxa"/>
            <w:shd w:val="clear" w:color="auto" w:fill="385623" w:themeFill="accent6" w:themeFillShade="80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49,60%</w:t>
            </w:r>
          </w:p>
        </w:tc>
        <w:tc>
          <w:tcPr>
            <w:tcW w:w="2551" w:type="dxa"/>
            <w:shd w:val="clear" w:color="auto" w:fill="385623" w:themeFill="accent6" w:themeFillShade="80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közepesen kihasznált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538135" w:themeFill="accent6" w:themeFillShade="BF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JT_108</w:t>
            </w:r>
          </w:p>
        </w:tc>
        <w:tc>
          <w:tcPr>
            <w:tcW w:w="2835" w:type="dxa"/>
            <w:shd w:val="clear" w:color="auto" w:fill="538135" w:themeFill="accent6" w:themeFillShade="BF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41,04%</w:t>
            </w:r>
          </w:p>
        </w:tc>
        <w:tc>
          <w:tcPr>
            <w:tcW w:w="2551" w:type="dxa"/>
            <w:shd w:val="clear" w:color="auto" w:fill="538135" w:themeFill="accent6" w:themeFillShade="BF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közepesen kihasznált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C45911" w:themeFill="accent2" w:themeFillShade="BF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JT_114</w:t>
            </w:r>
          </w:p>
        </w:tc>
        <w:tc>
          <w:tcPr>
            <w:tcW w:w="2835" w:type="dxa"/>
            <w:shd w:val="clear" w:color="auto" w:fill="C45911" w:themeFill="accent2" w:themeFillShade="BF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2,81%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teljesen 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JT_121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28,49%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JT_122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36,35%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JT_123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24,23%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JT_126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24,29%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JT_127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18,02%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teljesen 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JT_128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28,37%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8D08D" w:themeFill="accent6" w:themeFillTint="99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JT_131</w:t>
            </w:r>
          </w:p>
        </w:tc>
        <w:tc>
          <w:tcPr>
            <w:tcW w:w="2835" w:type="dxa"/>
            <w:shd w:val="clear" w:color="auto" w:fill="A8D08D" w:themeFill="accent6" w:themeFillTint="99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40,91%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közepesen kihasznált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F4B083" w:themeFill="accent2" w:themeFillTint="99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JT_135</w:t>
            </w:r>
          </w:p>
        </w:tc>
        <w:tc>
          <w:tcPr>
            <w:tcW w:w="2835" w:type="dxa"/>
            <w:shd w:val="clear" w:color="auto" w:fill="F4B083" w:themeFill="accent2" w:themeFillTint="99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6,19%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teljesen 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F7CAAC" w:themeFill="accent2" w:themeFillTint="66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JT_136</w:t>
            </w:r>
          </w:p>
        </w:tc>
        <w:tc>
          <w:tcPr>
            <w:tcW w:w="2835" w:type="dxa"/>
            <w:shd w:val="clear" w:color="auto" w:fill="F7CAAC" w:themeFill="accent2" w:themeFillTint="66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10,34%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teljesen kihasználatlan</w:t>
            </w:r>
          </w:p>
        </w:tc>
      </w:tr>
      <w:tr w:rsidR="00F034AB" w:rsidRPr="00D6386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JT_148 tornaterem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22,16%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F034AB" w:rsidTr="00E172ED">
        <w:trPr>
          <w:trHeight w:val="300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JT_227</w:t>
            </w:r>
          </w:p>
        </w:tc>
        <w:tc>
          <w:tcPr>
            <w:tcW w:w="2835" w:type="dxa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25,65%</w:t>
            </w:r>
          </w:p>
        </w:tc>
        <w:tc>
          <w:tcPr>
            <w:tcW w:w="2551" w:type="dxa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F034AB" w:rsidTr="00E172ED">
        <w:trPr>
          <w:trHeight w:val="300"/>
          <w:jc w:val="center"/>
        </w:trPr>
        <w:tc>
          <w:tcPr>
            <w:tcW w:w="2547" w:type="dxa"/>
            <w:shd w:val="clear" w:color="auto" w:fill="FFFFFF" w:themeFill="background1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JT_228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13,05%</w:t>
            </w:r>
          </w:p>
        </w:tc>
        <w:tc>
          <w:tcPr>
            <w:tcW w:w="2551" w:type="dxa"/>
            <w:shd w:val="clear" w:color="auto" w:fill="FFFFFF" w:themeFill="background1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teljesen kihasználatlan</w:t>
            </w:r>
          </w:p>
        </w:tc>
      </w:tr>
      <w:tr w:rsidR="00F034AB" w:rsidRPr="00F034AB" w:rsidTr="00E172ED">
        <w:trPr>
          <w:trHeight w:val="300"/>
          <w:jc w:val="center"/>
        </w:trPr>
        <w:tc>
          <w:tcPr>
            <w:tcW w:w="2547" w:type="dxa"/>
            <w:shd w:val="clear" w:color="auto" w:fill="FFFFFF" w:themeFill="background1"/>
            <w:noWrap/>
            <w:vAlign w:val="bottom"/>
            <w:hideMark/>
          </w:tcPr>
          <w:p w:rsidR="00F034AB" w:rsidRPr="00D6386B" w:rsidRDefault="00F034AB" w:rsidP="00F03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6386B">
              <w:rPr>
                <w:rFonts w:ascii="Calibri" w:eastAsia="Times New Roman" w:hAnsi="Calibri" w:cs="Calibri"/>
                <w:color w:val="000000"/>
                <w:lang w:eastAsia="hu-HU"/>
              </w:rPr>
              <w:t>JT_232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F034AB" w:rsidRPr="00F034AB" w:rsidRDefault="00F034AB" w:rsidP="00F034AB">
            <w:pPr>
              <w:spacing w:after="0"/>
              <w:jc w:val="center"/>
              <w:rPr>
                <w:rFonts w:ascii="Calibri" w:hAnsi="Calibri" w:cs="Calibri"/>
              </w:rPr>
            </w:pPr>
            <w:r w:rsidRPr="00F034AB">
              <w:rPr>
                <w:rFonts w:ascii="Calibri" w:hAnsi="Calibri" w:cs="Calibri"/>
              </w:rPr>
              <w:t>32,25%</w:t>
            </w:r>
          </w:p>
        </w:tc>
        <w:tc>
          <w:tcPr>
            <w:tcW w:w="2551" w:type="dxa"/>
            <w:shd w:val="clear" w:color="auto" w:fill="FFFFFF" w:themeFill="background1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F034AB">
              <w:t>kihasználatlan</w:t>
            </w:r>
          </w:p>
        </w:tc>
      </w:tr>
      <w:tr w:rsidR="00F034AB" w:rsidRPr="00F034AB" w:rsidTr="00E172ED">
        <w:trPr>
          <w:trHeight w:val="300"/>
          <w:jc w:val="center"/>
        </w:trPr>
        <w:tc>
          <w:tcPr>
            <w:tcW w:w="2547" w:type="dxa"/>
            <w:shd w:val="clear" w:color="auto" w:fill="FFFFFF" w:themeFill="background1"/>
            <w:noWrap/>
            <w:vAlign w:val="bottom"/>
          </w:tcPr>
          <w:p w:rsidR="00F034AB" w:rsidRPr="00F034AB" w:rsidRDefault="00F034AB" w:rsidP="00D638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</w:t>
            </w:r>
          </w:p>
        </w:tc>
        <w:tc>
          <w:tcPr>
            <w:tcW w:w="2835" w:type="dxa"/>
            <w:shd w:val="clear" w:color="auto" w:fill="FFFFFF" w:themeFill="background1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lang w:eastAsia="hu-HU"/>
              </w:rPr>
              <w:t>25,56%</w:t>
            </w:r>
          </w:p>
        </w:tc>
        <w:tc>
          <w:tcPr>
            <w:tcW w:w="2551" w:type="dxa"/>
            <w:shd w:val="clear" w:color="auto" w:fill="FFFFFF" w:themeFill="background1"/>
          </w:tcPr>
          <w:p w:rsidR="00F034AB" w:rsidRPr="00F034AB" w:rsidRDefault="00F034AB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lang w:eastAsia="hu-HU"/>
              </w:rPr>
              <w:t>kihasználatlan</w:t>
            </w:r>
          </w:p>
        </w:tc>
      </w:tr>
      <w:tr w:rsidR="00F034AB" w:rsidRPr="00F034AB" w:rsidTr="00E172ED">
        <w:trPr>
          <w:trHeight w:val="300"/>
          <w:jc w:val="center"/>
        </w:trPr>
        <w:tc>
          <w:tcPr>
            <w:tcW w:w="2547" w:type="dxa"/>
            <w:shd w:val="clear" w:color="auto" w:fill="FFFFFF" w:themeFill="background1"/>
            <w:noWrap/>
            <w:vAlign w:val="bottom"/>
          </w:tcPr>
          <w:p w:rsidR="00F034AB" w:rsidRPr="00F034AB" w:rsidRDefault="00F034AB" w:rsidP="00D638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Maximum</w:t>
            </w:r>
          </w:p>
        </w:tc>
        <w:tc>
          <w:tcPr>
            <w:tcW w:w="2835" w:type="dxa"/>
            <w:shd w:val="clear" w:color="auto" w:fill="FFFFFF" w:themeFill="background1"/>
          </w:tcPr>
          <w:p w:rsidR="00F034AB" w:rsidRPr="00F034AB" w:rsidRDefault="00792192" w:rsidP="00F03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64,13</w:t>
            </w:r>
            <w:r w:rsidR="00F034AB" w:rsidRPr="00F034AB">
              <w:rPr>
                <w:rFonts w:ascii="Calibri" w:eastAsia="Times New Roman" w:hAnsi="Calibri" w:cs="Calibri"/>
                <w:b/>
                <w:lang w:eastAsia="hu-HU"/>
              </w:rPr>
              <w:t>%</w:t>
            </w:r>
          </w:p>
        </w:tc>
        <w:tc>
          <w:tcPr>
            <w:tcW w:w="2551" w:type="dxa"/>
            <w:shd w:val="clear" w:color="auto" w:fill="FFFFFF" w:themeFill="background1"/>
          </w:tcPr>
          <w:p w:rsidR="00F034AB" w:rsidRPr="00F034AB" w:rsidRDefault="00F034AB" w:rsidP="00792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F034AB">
              <w:rPr>
                <w:rFonts w:ascii="Calibri" w:eastAsia="Times New Roman" w:hAnsi="Calibri" w:cs="Calibri"/>
                <w:b/>
                <w:lang w:eastAsia="hu-HU"/>
              </w:rPr>
              <w:t>kihasznált</w:t>
            </w:r>
          </w:p>
        </w:tc>
      </w:tr>
    </w:tbl>
    <w:p w:rsidR="00D6386B" w:rsidRDefault="00D6386B" w:rsidP="00B202FB">
      <w:pPr>
        <w:jc w:val="both"/>
      </w:pPr>
    </w:p>
    <w:p w:rsidR="004026A2" w:rsidRDefault="00687E73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4B433294" wp14:editId="6BF83AE5">
            <wp:extent cx="5762625" cy="3067050"/>
            <wp:effectExtent l="0" t="0" r="9525" b="0"/>
            <wp:docPr id="41" name="Diagram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026A2" w:rsidRDefault="004026A2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2CF848F2" wp14:editId="4C13392A">
            <wp:extent cx="5400675" cy="1990725"/>
            <wp:effectExtent l="0" t="0" r="9525" b="9525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374FA" w:rsidRDefault="00A374FA" w:rsidP="00B202FB">
      <w:pPr>
        <w:jc w:val="both"/>
      </w:pPr>
    </w:p>
    <w:p w:rsidR="00A374FA" w:rsidRDefault="00A374FA" w:rsidP="00B202FB">
      <w:pPr>
        <w:jc w:val="both"/>
      </w:pPr>
    </w:p>
    <w:p w:rsidR="00A374FA" w:rsidRDefault="00580AB1" w:rsidP="00686B02">
      <w:pPr>
        <w:pStyle w:val="Cmsor3"/>
      </w:pPr>
      <w:bookmarkStart w:id="10" w:name="_Toc515454133"/>
      <w:r w:rsidRPr="00580AB1">
        <w:t>Egyetemi összehasonlítás</w:t>
      </w:r>
      <w:bookmarkEnd w:id="10"/>
    </w:p>
    <w:p w:rsidR="00686B02" w:rsidRPr="00686B02" w:rsidRDefault="00686B02" w:rsidP="00686B02"/>
    <w:p w:rsidR="00A374FA" w:rsidRDefault="00354DC5" w:rsidP="00B202FB">
      <w:pPr>
        <w:jc w:val="both"/>
      </w:pPr>
      <w:r>
        <w:t>Az összesített adatok alapján az egyetemi oktatási termek kihasználtságának átlaga 42,70%, 31,42óra/hét átlagóraszám mellett. Ezen adatok szerint épületeink közepesen kihasználtak.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03"/>
        <w:gridCol w:w="1559"/>
      </w:tblGrid>
      <w:tr w:rsidR="006C5E45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C5E45" w:rsidRPr="006C5E45" w:rsidRDefault="00AB3792" w:rsidP="0009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Campus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 kihasználtság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 óraszám</w:t>
            </w:r>
          </w:p>
        </w:tc>
      </w:tr>
      <w:tr w:rsidR="006C5E45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Eger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49,89%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34,42</w:t>
            </w:r>
          </w:p>
        </w:tc>
      </w:tr>
      <w:tr w:rsidR="006C5E45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Sárospatak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24,58%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19,94</w:t>
            </w:r>
          </w:p>
        </w:tc>
      </w:tr>
      <w:tr w:rsidR="006C5E45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Gyöngyös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29,19%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23,32</w:t>
            </w:r>
          </w:p>
        </w:tc>
      </w:tr>
      <w:tr w:rsidR="006C5E45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Jászberény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25,56%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E45" w:rsidRPr="006C5E45" w:rsidRDefault="006C5E45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19,49</w:t>
            </w:r>
          </w:p>
        </w:tc>
      </w:tr>
    </w:tbl>
    <w:p w:rsidR="006C5E45" w:rsidRDefault="006C5E45" w:rsidP="00B202FB">
      <w:pPr>
        <w:jc w:val="both"/>
      </w:pPr>
    </w:p>
    <w:p w:rsidR="007330B4" w:rsidRDefault="007330B4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884E484" wp14:editId="3D3F50C7">
            <wp:extent cx="5876925" cy="2743200"/>
            <wp:effectExtent l="0" t="0" r="9525" b="0"/>
            <wp:docPr id="68" name="Diagram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9024F" w:rsidRDefault="0059024F" w:rsidP="00B202FB">
      <w:pPr>
        <w:jc w:val="both"/>
      </w:pPr>
    </w:p>
    <w:p w:rsidR="0059024F" w:rsidRDefault="0059024F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10ABE4E" wp14:editId="54339246">
            <wp:extent cx="5857875" cy="2743200"/>
            <wp:effectExtent l="0" t="0" r="9525" b="0"/>
            <wp:docPr id="69" name="Diagram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374FA" w:rsidRDefault="00101308" w:rsidP="00B202FB">
      <w:pPr>
        <w:jc w:val="both"/>
      </w:pPr>
      <w:r>
        <w:t xml:space="preserve">Minden </w:t>
      </w:r>
      <w:r w:rsidR="00AB3792">
        <w:t>Campus</w:t>
      </w:r>
      <w:r>
        <w:t xml:space="preserve"> átlag adatainak összehas</w:t>
      </w:r>
      <w:r w:rsidR="00647D40">
        <w:t>o</w:t>
      </w:r>
      <w:r>
        <w:t>nlítása, az alábbi grafikonon, ahol az épületek átlagkihasználtsága csökkenő sorrendben került feltüntetésre, így újra megerősíthetjük, hogy egyetemi szinten is a B épület a leginkább kihasznált</w:t>
      </w:r>
      <w:r w:rsidR="0022250B">
        <w:t xml:space="preserve"> (71,14%)</w:t>
      </w:r>
      <w:r w:rsidR="00647D40">
        <w:t>, míg a sárospataki a legkevésbé</w:t>
      </w:r>
      <w:r w:rsidR="0022250B">
        <w:t xml:space="preserve"> (24,58%)</w:t>
      </w:r>
      <w:r>
        <w:t>.</w:t>
      </w:r>
    </w:p>
    <w:p w:rsidR="00647D40" w:rsidRDefault="00647D40" w:rsidP="00B202FB">
      <w:pPr>
        <w:jc w:val="both"/>
      </w:pPr>
      <w:r>
        <w:t>A B épület óraszámainak átlaga 51,22 óra (6 félév átlaga), míg a legalacsonyabb a jászberényi 19,49</w:t>
      </w:r>
      <w:r w:rsidR="00617E1E">
        <w:t xml:space="preserve"> óra</w:t>
      </w:r>
      <w:r>
        <w:t xml:space="preserve"> (4 félév átlaga).</w:t>
      </w:r>
    </w:p>
    <w:p w:rsidR="00101308" w:rsidRDefault="00613701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597F5C66" wp14:editId="06088E26">
            <wp:extent cx="5915025" cy="2743200"/>
            <wp:effectExtent l="0" t="0" r="9525" b="0"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E5CDC" w:rsidRDefault="00BE5CDC" w:rsidP="00B202FB">
      <w:pPr>
        <w:jc w:val="both"/>
      </w:pPr>
    </w:p>
    <w:p w:rsidR="005748AC" w:rsidRDefault="005748AC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1141FA29" wp14:editId="2B26ACC5">
            <wp:extent cx="6076950" cy="3248025"/>
            <wp:effectExtent l="0" t="0" r="0" b="9525"/>
            <wp:docPr id="27" name="Diagra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A3888" w:rsidRDefault="008A3888">
      <w:r>
        <w:br w:type="page"/>
      </w:r>
    </w:p>
    <w:p w:rsidR="00686B02" w:rsidRDefault="00686B02" w:rsidP="00686B02">
      <w:pPr>
        <w:pStyle w:val="Cmsor2"/>
        <w:rPr>
          <w:b/>
        </w:rPr>
      </w:pPr>
      <w:bookmarkStart w:id="11" w:name="_Toc515454134"/>
      <w:r w:rsidRPr="00686B02">
        <w:rPr>
          <w:b/>
        </w:rPr>
        <w:lastRenderedPageBreak/>
        <w:t>Egyéb helyiségek kihasználtságának vizsgálata</w:t>
      </w:r>
      <w:bookmarkEnd w:id="11"/>
    </w:p>
    <w:p w:rsidR="00686B02" w:rsidRPr="00686B02" w:rsidRDefault="00686B02" w:rsidP="00686B02"/>
    <w:p w:rsidR="00962B4C" w:rsidRDefault="008A3888" w:rsidP="00B202FB">
      <w:pPr>
        <w:jc w:val="both"/>
      </w:pPr>
      <w:r w:rsidRPr="00686B02">
        <w:t>Az oktatótermeken kívüli iroda, egyéb helyiség vagy külső helyszínek igénybevételének vizsgálata</w:t>
      </w:r>
      <w:r w:rsidR="00686B02" w:rsidRPr="00686B02">
        <w:t xml:space="preserve"> során a</w:t>
      </w:r>
      <w:r w:rsidR="00962B4C" w:rsidRPr="00686B02">
        <w:t>zok a helyiségek kerültek ebbe a vizsgálati kategóriába, melyek nem tanteremként vannak nyilvántartva, oktatásra</w:t>
      </w:r>
      <w:r w:rsidR="00952AA9" w:rsidRPr="00686B02">
        <w:t xml:space="preserve"> mégis alkalmasak. Ezen helyiségek minősége, felszereltsége, befogadóképessége rendkívül széles skálán mozog, nem lehet őket kategorizálni (két szélsőértékként: tanszékvezetői iroda kontra MAC labor). A külső helyszínek elnevezés az egri </w:t>
      </w:r>
      <w:r w:rsidR="00AB3792">
        <w:t>Campus</w:t>
      </w:r>
      <w:r w:rsidR="00952AA9" w:rsidRPr="00686B02">
        <w:t>nál jelentkezik, de nem konzekvens a jelölés, így például az uszoda használat nem ehhez a kategóriához tartozik, hanem az E épülethez, holott az úszás órák nem az épületben zajlanak, hanem külső helyszínen, a városi uszodában.</w:t>
      </w:r>
    </w:p>
    <w:p w:rsidR="00E75E62" w:rsidRPr="00686B02" w:rsidRDefault="00E75E62" w:rsidP="00B202FB">
      <w:pPr>
        <w:jc w:val="both"/>
      </w:pPr>
    </w:p>
    <w:p w:rsidR="008A3888" w:rsidRDefault="008A3888" w:rsidP="00E75E62">
      <w:pPr>
        <w:pStyle w:val="Cmsor3"/>
      </w:pPr>
      <w:bookmarkStart w:id="12" w:name="_Toc515454135"/>
      <w:r w:rsidRPr="008A3888">
        <w:t>Eg</w:t>
      </w:r>
      <w:r w:rsidR="0054062E">
        <w:t xml:space="preserve">ri </w:t>
      </w:r>
      <w:r w:rsidR="00AB3792">
        <w:t>Campus</w:t>
      </w:r>
      <w:bookmarkEnd w:id="12"/>
    </w:p>
    <w:p w:rsidR="00E75E62" w:rsidRPr="00E75E62" w:rsidRDefault="00E75E62" w:rsidP="00E75E62"/>
    <w:p w:rsidR="008A3888" w:rsidRPr="008A3888" w:rsidRDefault="008A3888" w:rsidP="00B202FB">
      <w:pPr>
        <w:jc w:val="both"/>
        <w:rPr>
          <w:b/>
        </w:rPr>
      </w:pPr>
      <w:r w:rsidRPr="008A3888">
        <w:rPr>
          <w:b/>
        </w:rPr>
        <w:t>A épület</w:t>
      </w:r>
    </w:p>
    <w:p w:rsidR="008A3888" w:rsidRDefault="008A3888" w:rsidP="00B202FB">
      <w:pPr>
        <w:jc w:val="both"/>
      </w:pPr>
      <w:r>
        <w:t>A Líceumban összesen 34 olyan helyiség volt melyet a 6 félév során igénybe vettek tanítási céllal, nem oktatóteremnek minősített helyiségekben. A helyiségek 6 félév alatti átlagkihasználtsága 12,41%, az átlag óraszám 8,93 óra, a 6 félév maximumainak átlaga: 64,56%-</w:t>
      </w:r>
      <w:proofErr w:type="spellStart"/>
      <w:r>
        <w:t>os</w:t>
      </w:r>
      <w:proofErr w:type="spellEnd"/>
      <w:r>
        <w:t xml:space="preserve"> kihasználtság, 34,57 óra.</w:t>
      </w:r>
    </w:p>
    <w:p w:rsidR="008A3888" w:rsidRDefault="004F5644" w:rsidP="00B202FB">
      <w:pPr>
        <w:jc w:val="both"/>
      </w:pPr>
      <w:r>
        <w:t>Itt fontosnak talált</w:t>
      </w:r>
      <w:r w:rsidR="008A3888">
        <w:t xml:space="preserve">uk külön venni azokat a helyiségeket, ahol </w:t>
      </w:r>
      <w:r>
        <w:t>1-2 félév során volt 1-2 óra és pl. hozzátartozóan vizsgaalkalmak, mely kényszerből vagy kényelemből alakult ki, illetve azokat a helyiségeket, ahol rendszeresen tartanak órákat.</w:t>
      </w:r>
    </w:p>
    <w:p w:rsidR="003227E9" w:rsidRPr="007640F1" w:rsidRDefault="003227E9" w:rsidP="00B202FB">
      <w:pPr>
        <w:jc w:val="both"/>
        <w:rPr>
          <w:i/>
        </w:rPr>
      </w:pPr>
      <w:r w:rsidRPr="007640F1">
        <w:rPr>
          <w:i/>
        </w:rPr>
        <w:t>Rendszertelenül használt helyiségek, kevés óraszámmal, vizsgával, néhány félév során:</w:t>
      </w:r>
    </w:p>
    <w:p w:rsidR="003227E9" w:rsidRDefault="003227E9" w:rsidP="00B202FB">
      <w:pPr>
        <w:jc w:val="both"/>
      </w:pPr>
      <w:r>
        <w:t xml:space="preserve">Ebbe a kategóriába (önkényesen a 6 féléves terem foglaltságának átlagából indultunk ki) az 5% alatti </w:t>
      </w:r>
      <w:proofErr w:type="spellStart"/>
      <w:r>
        <w:t>kihasználts</w:t>
      </w:r>
      <w:r w:rsidR="007640F1">
        <w:t>ágot</w:t>
      </w:r>
      <w:proofErr w:type="spellEnd"/>
      <w:r w:rsidR="007640F1">
        <w:t xml:space="preserve"> mutató helyiségek kerültek. Itt 17 helyiség található, ezek átlag kihasználtsága 1,85%, átlag óraszámuk</w:t>
      </w:r>
      <w:r w:rsidR="00623D18">
        <w:t xml:space="preserve"> 1,32 óra:</w:t>
      </w:r>
      <w:r w:rsidR="007640F1">
        <w:t xml:space="preserve">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623D18" w:rsidRPr="00623D18" w:rsidTr="00623D18">
        <w:trPr>
          <w:trHeight w:val="300"/>
          <w:jc w:val="center"/>
        </w:trPr>
        <w:tc>
          <w:tcPr>
            <w:tcW w:w="5382" w:type="dxa"/>
            <w:shd w:val="clear" w:color="auto" w:fill="auto"/>
            <w:noWrap/>
            <w:vAlign w:val="center"/>
          </w:tcPr>
          <w:p w:rsidR="00623D18" w:rsidRPr="00623D18" w:rsidRDefault="00623D18" w:rsidP="00623D1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126" w:type="dxa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</w:t>
            </w:r>
            <w:r w:rsidRPr="00623D18">
              <w:rPr>
                <w:rFonts w:ascii="Calibri" w:hAnsi="Calibri" w:cs="Calibri"/>
                <w:b/>
              </w:rPr>
              <w:t>tlag kihasználtság</w:t>
            </w:r>
          </w:p>
        </w:tc>
        <w:tc>
          <w:tcPr>
            <w:tcW w:w="1554" w:type="dxa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</w:t>
            </w:r>
            <w:r w:rsidRPr="00623D18">
              <w:rPr>
                <w:rFonts w:ascii="Calibri" w:hAnsi="Calibri" w:cs="Calibri"/>
                <w:b/>
              </w:rPr>
              <w:t>tlag óraszám</w:t>
            </w:r>
          </w:p>
        </w:tc>
      </w:tr>
      <w:tr w:rsidR="00623D18" w:rsidRPr="008A3888" w:rsidTr="003129FB">
        <w:trPr>
          <w:trHeight w:val="300"/>
          <w:jc w:val="center"/>
        </w:trPr>
        <w:tc>
          <w:tcPr>
            <w:tcW w:w="5382" w:type="dxa"/>
            <w:shd w:val="clear" w:color="auto" w:fill="F7CAAC" w:themeFill="accent2" w:themeFillTint="66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Ének-Zene Tanszék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0,62%</w:t>
            </w:r>
          </w:p>
        </w:tc>
        <w:tc>
          <w:tcPr>
            <w:tcW w:w="1554" w:type="dxa"/>
            <w:shd w:val="clear" w:color="auto" w:fill="F7CAAC" w:themeFill="accent2" w:themeFillTint="66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0,44</w:t>
            </w:r>
          </w:p>
        </w:tc>
      </w:tr>
      <w:tr w:rsidR="00623D18" w:rsidRPr="008A3888" w:rsidTr="003129FB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Projektiroda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0,07%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0,05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Konferenciaterem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206)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2,31%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1,66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Teológia Tanszék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0,64%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0,46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Tanári szoba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212)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1,27%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0,91</w:t>
            </w:r>
          </w:p>
        </w:tc>
      </w:tr>
      <w:tr w:rsidR="00623D18" w:rsidRPr="008A3888" w:rsidTr="003129FB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623D18" w:rsidRPr="008A3888" w:rsidRDefault="00623D18" w:rsidP="007640F1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</w:rPr>
              <w:t>II.301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0,17%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0,11</w:t>
            </w:r>
          </w:p>
        </w:tc>
      </w:tr>
      <w:tr w:rsidR="00623D18" w:rsidRPr="008A3888" w:rsidTr="003129FB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Magyar Nyelvészeti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303)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4,43%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3,19</w:t>
            </w:r>
          </w:p>
        </w:tc>
      </w:tr>
      <w:tr w:rsidR="00623D18" w:rsidRPr="008A3888" w:rsidTr="003129FB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Általános és alkalmazott nyelvészeti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3,94%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2,83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Magyar Irodalomtudományi Tanszék - Világirodalom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2,73%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1,96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Nyelv- és Irodalomtudományi Intézet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306)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1,82%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1,30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Kulturális Örökség és Művelődéstörténet Tanszék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1,42%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1,02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Történelemtudományi Intézet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2,77%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1,99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Médiainformatika Intézet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1,36%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0,97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Informatika Tanszék,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Oktatás- és Kommunikációtechnológia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0,82%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0,59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Informatika Tanszék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2,21%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1,59</w:t>
            </w:r>
          </w:p>
        </w:tc>
      </w:tr>
      <w:tr w:rsidR="00623D18" w:rsidRPr="008A3888" w:rsidTr="003129FB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Varázstorony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3,63%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2,61</w:t>
            </w:r>
          </w:p>
        </w:tc>
      </w:tr>
      <w:tr w:rsidR="00623D18" w:rsidRPr="008A3888" w:rsidTr="00623D18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D18" w:rsidRPr="008A3888" w:rsidRDefault="00623D18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.V.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1,27%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D18" w:rsidRPr="00623D18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623D18">
              <w:rPr>
                <w:rFonts w:ascii="Calibri" w:hAnsi="Calibri" w:cs="Calibri"/>
              </w:rPr>
              <w:t>0,91</w:t>
            </w:r>
          </w:p>
        </w:tc>
      </w:tr>
    </w:tbl>
    <w:p w:rsidR="004F5644" w:rsidRDefault="004F5644" w:rsidP="00B202FB">
      <w:pPr>
        <w:jc w:val="both"/>
      </w:pPr>
    </w:p>
    <w:p w:rsidR="007640F1" w:rsidRPr="00623D18" w:rsidRDefault="007640F1" w:rsidP="00B202FB">
      <w:pPr>
        <w:jc w:val="both"/>
        <w:rPr>
          <w:i/>
        </w:rPr>
      </w:pPr>
      <w:r w:rsidRPr="00623D18">
        <w:rPr>
          <w:i/>
        </w:rPr>
        <w:t>Rendszeresen használt helyiségek, magasabb óraszámm</w:t>
      </w:r>
      <w:r w:rsidR="00623D18" w:rsidRPr="00623D18">
        <w:rPr>
          <w:i/>
        </w:rPr>
        <w:t>al, 5% fölötti kihasználtsággal</w:t>
      </w:r>
    </w:p>
    <w:p w:rsidR="00623D18" w:rsidRDefault="00623D18" w:rsidP="00B202FB">
      <w:pPr>
        <w:jc w:val="both"/>
      </w:pPr>
      <w:r>
        <w:t>Ebbe a kategóriába is 17 helyiség került, melyek átlag kihasználtsága 19,46%-</w:t>
      </w:r>
      <w:proofErr w:type="spellStart"/>
      <w:r>
        <w:t>os</w:t>
      </w:r>
      <w:proofErr w:type="spellEnd"/>
      <w:r>
        <w:t>, átlag óraszámuk</w:t>
      </w:r>
      <w:r w:rsidR="003129FB">
        <w:t xml:space="preserve"> 14,00 óra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623D18" w:rsidRPr="008A3888" w:rsidTr="00623D18">
        <w:trPr>
          <w:trHeight w:val="300"/>
        </w:trPr>
        <w:tc>
          <w:tcPr>
            <w:tcW w:w="4957" w:type="dxa"/>
            <w:shd w:val="clear" w:color="000000" w:fill="FFFF00"/>
            <w:noWrap/>
            <w:vAlign w:val="center"/>
          </w:tcPr>
          <w:p w:rsidR="00623D18" w:rsidRPr="00623D18" w:rsidRDefault="00623D18" w:rsidP="00623D1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126" w:type="dxa"/>
            <w:shd w:val="clear" w:color="000000" w:fill="FFFF00"/>
            <w:vAlign w:val="center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  <w:b/>
              </w:rPr>
            </w:pPr>
            <w:r w:rsidRPr="003129FB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979" w:type="dxa"/>
            <w:shd w:val="clear" w:color="000000" w:fill="FFFF00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  <w:b/>
              </w:rPr>
            </w:pPr>
            <w:r w:rsidRPr="003129FB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623D18" w:rsidRPr="008A3888" w:rsidTr="003129FB">
        <w:trPr>
          <w:trHeight w:val="300"/>
        </w:trPr>
        <w:tc>
          <w:tcPr>
            <w:tcW w:w="4957" w:type="dxa"/>
            <w:shd w:val="clear" w:color="auto" w:fill="A8D08D" w:themeFill="accent6" w:themeFillTint="99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Líceum tv vágó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.021)</w:t>
            </w:r>
          </w:p>
        </w:tc>
        <w:tc>
          <w:tcPr>
            <w:tcW w:w="2126" w:type="dxa"/>
            <w:shd w:val="clear" w:color="auto" w:fill="A8D08D" w:themeFill="accent6" w:themeFillTint="99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25,79%</w:t>
            </w:r>
          </w:p>
        </w:tc>
        <w:tc>
          <w:tcPr>
            <w:tcW w:w="1979" w:type="dxa"/>
            <w:shd w:val="clear" w:color="auto" w:fill="A8D08D" w:themeFill="accent6" w:themeFillTint="99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18,57</w:t>
            </w:r>
          </w:p>
        </w:tc>
      </w:tr>
      <w:tr w:rsidR="00623D18" w:rsidRPr="008A3888" w:rsidTr="003129FB">
        <w:trPr>
          <w:trHeight w:val="300"/>
        </w:trPr>
        <w:tc>
          <w:tcPr>
            <w:tcW w:w="4957" w:type="dxa"/>
            <w:shd w:val="clear" w:color="auto" w:fill="F7CAAC" w:themeFill="accent2" w:themeFillTint="66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Olvasó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.111-112)</w:t>
            </w:r>
          </w:p>
        </w:tc>
        <w:tc>
          <w:tcPr>
            <w:tcW w:w="2126" w:type="dxa"/>
            <w:shd w:val="clear" w:color="auto" w:fill="F7CAAC" w:themeFill="accent2" w:themeFillTint="66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7,69%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5,53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Amerikai Kuckó és Könyvtár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.115)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18,99%</w:t>
            </w:r>
          </w:p>
        </w:tc>
        <w:tc>
          <w:tcPr>
            <w:tcW w:w="1979" w:type="dxa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13,67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.123/B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9,90%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7,12</w:t>
            </w:r>
          </w:p>
        </w:tc>
      </w:tr>
      <w:tr w:rsidR="00623D18" w:rsidRPr="008A3888" w:rsidTr="003129FB">
        <w:trPr>
          <w:trHeight w:val="300"/>
        </w:trPr>
        <w:tc>
          <w:tcPr>
            <w:tcW w:w="4957" w:type="dxa"/>
            <w:shd w:val="clear" w:color="auto" w:fill="C45911" w:themeFill="accent2" w:themeFillShade="BF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A.FSZ.125/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2126" w:type="dxa"/>
            <w:shd w:val="clear" w:color="auto" w:fill="C45911" w:themeFill="accent2" w:themeFillShade="BF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5,29%</w:t>
            </w:r>
          </w:p>
        </w:tc>
        <w:tc>
          <w:tcPr>
            <w:tcW w:w="1979" w:type="dxa"/>
            <w:shd w:val="clear" w:color="auto" w:fill="C45911" w:themeFill="accent2" w:themeFillShade="BF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3,80</w:t>
            </w:r>
          </w:p>
        </w:tc>
      </w:tr>
      <w:tr w:rsidR="00623D18" w:rsidRPr="008A3888" w:rsidTr="003129FB">
        <w:trPr>
          <w:trHeight w:val="300"/>
        </w:trPr>
        <w:tc>
          <w:tcPr>
            <w:tcW w:w="4957" w:type="dxa"/>
            <w:shd w:val="clear" w:color="auto" w:fill="538135" w:themeFill="accent6" w:themeFillShade="BF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.128</w:t>
            </w:r>
          </w:p>
        </w:tc>
        <w:tc>
          <w:tcPr>
            <w:tcW w:w="2126" w:type="dxa"/>
            <w:shd w:val="clear" w:color="auto" w:fill="538135" w:themeFill="accent6" w:themeFillShade="BF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27,99%</w:t>
            </w:r>
          </w:p>
        </w:tc>
        <w:tc>
          <w:tcPr>
            <w:tcW w:w="1979" w:type="dxa"/>
            <w:shd w:val="clear" w:color="auto" w:fill="538135" w:themeFill="accent6" w:themeFillShade="BF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20,15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Sekrestye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210)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25,76%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18,54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211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25,12%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18,08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Könyvtár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213)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24,26%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17,46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216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23,57%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16,96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Számítógépes terem MAC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310)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27,60%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19,87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Tanári szoba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312)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19,75%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14,21</w:t>
            </w:r>
          </w:p>
        </w:tc>
      </w:tr>
      <w:tr w:rsidR="00623D18" w:rsidRPr="008A3888" w:rsidTr="003129FB">
        <w:trPr>
          <w:trHeight w:val="300"/>
        </w:trPr>
        <w:tc>
          <w:tcPr>
            <w:tcW w:w="4957" w:type="dxa"/>
            <w:shd w:val="clear" w:color="auto" w:fill="385623" w:themeFill="accent6" w:themeFillShade="80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Történelemtudományi Intézet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320)</w:t>
            </w:r>
          </w:p>
        </w:tc>
        <w:tc>
          <w:tcPr>
            <w:tcW w:w="2126" w:type="dxa"/>
            <w:shd w:val="clear" w:color="auto" w:fill="385623" w:themeFill="accent6" w:themeFillShade="80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29,62%</w:t>
            </w:r>
          </w:p>
        </w:tc>
        <w:tc>
          <w:tcPr>
            <w:tcW w:w="1979" w:type="dxa"/>
            <w:shd w:val="clear" w:color="auto" w:fill="385623" w:themeFill="accent6" w:themeFillShade="80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21,32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Középkori- és Újkori Magyar Történelem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321)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20,22%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14,55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Középkori - és Újkori Magyar Történelem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322)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20,29%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14,60</w:t>
            </w:r>
          </w:p>
        </w:tc>
      </w:tr>
      <w:tr w:rsidR="00623D18" w:rsidRPr="008A3888" w:rsidTr="003129FB">
        <w:trPr>
          <w:trHeight w:val="300"/>
        </w:trPr>
        <w:tc>
          <w:tcPr>
            <w:tcW w:w="4957" w:type="dxa"/>
            <w:shd w:val="clear" w:color="auto" w:fill="F4B083" w:themeFill="accent2" w:themeFillTint="99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Modernkori Magyar Történelem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323)</w:t>
            </w:r>
          </w:p>
        </w:tc>
        <w:tc>
          <w:tcPr>
            <w:tcW w:w="2126" w:type="dxa"/>
            <w:shd w:val="clear" w:color="auto" w:fill="F4B083" w:themeFill="accent2" w:themeFillTint="99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7,65%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5,50</w:t>
            </w:r>
          </w:p>
        </w:tc>
      </w:tr>
      <w:tr w:rsidR="00623D18" w:rsidRPr="008A3888" w:rsidTr="00623D18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623D18" w:rsidRPr="008A3888" w:rsidRDefault="00623D18" w:rsidP="00322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Modernkori Magyar Történelem Tanszék (A</w:t>
            </w:r>
            <w:proofErr w:type="gramStart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8A388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324)  </w:t>
            </w:r>
          </w:p>
        </w:tc>
        <w:tc>
          <w:tcPr>
            <w:tcW w:w="2126" w:type="dxa"/>
            <w:vAlign w:val="bottom"/>
          </w:tcPr>
          <w:p w:rsidR="00623D18" w:rsidRPr="003129FB" w:rsidRDefault="00623D18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11,39%</w:t>
            </w:r>
          </w:p>
        </w:tc>
        <w:tc>
          <w:tcPr>
            <w:tcW w:w="1979" w:type="dxa"/>
          </w:tcPr>
          <w:p w:rsidR="00623D18" w:rsidRPr="003129FB" w:rsidRDefault="00A16B7D" w:rsidP="003129FB">
            <w:pPr>
              <w:jc w:val="center"/>
              <w:rPr>
                <w:rFonts w:ascii="Calibri" w:hAnsi="Calibri" w:cs="Calibri"/>
              </w:rPr>
            </w:pPr>
            <w:r w:rsidRPr="003129FB">
              <w:rPr>
                <w:rFonts w:ascii="Calibri" w:hAnsi="Calibri" w:cs="Calibri"/>
              </w:rPr>
              <w:t>8,19</w:t>
            </w:r>
          </w:p>
        </w:tc>
      </w:tr>
    </w:tbl>
    <w:p w:rsidR="008A3888" w:rsidRDefault="008A3888" w:rsidP="00B202FB">
      <w:pPr>
        <w:jc w:val="both"/>
      </w:pPr>
    </w:p>
    <w:p w:rsidR="008A3888" w:rsidRDefault="00CB2955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05BECC0D" wp14:editId="03A6B0F8">
            <wp:extent cx="5734050" cy="3352800"/>
            <wp:effectExtent l="0" t="0" r="0" b="0"/>
            <wp:docPr id="42" name="Diagram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B2955" w:rsidRDefault="00CB2955" w:rsidP="00B202FB">
      <w:pPr>
        <w:jc w:val="both"/>
      </w:pPr>
    </w:p>
    <w:p w:rsidR="00CB2955" w:rsidRDefault="00122320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2CDFCDF2" wp14:editId="20EC8B11">
            <wp:extent cx="5781675" cy="2171700"/>
            <wp:effectExtent l="0" t="0" r="9525" b="0"/>
            <wp:docPr id="43" name="Diagram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75235" w:rsidRDefault="00075235" w:rsidP="00B202FB">
      <w:pPr>
        <w:jc w:val="both"/>
      </w:pPr>
    </w:p>
    <w:p w:rsidR="00075235" w:rsidRDefault="00075235" w:rsidP="00B202FB">
      <w:pPr>
        <w:jc w:val="both"/>
      </w:pPr>
    </w:p>
    <w:p w:rsidR="002140EF" w:rsidRDefault="002140EF">
      <w:pPr>
        <w:rPr>
          <w:b/>
        </w:rPr>
      </w:pPr>
      <w:r>
        <w:rPr>
          <w:b/>
        </w:rPr>
        <w:br w:type="page"/>
      </w:r>
    </w:p>
    <w:p w:rsidR="00075235" w:rsidRPr="00075235" w:rsidRDefault="00075235" w:rsidP="00B202FB">
      <w:pPr>
        <w:jc w:val="both"/>
        <w:rPr>
          <w:b/>
        </w:rPr>
      </w:pPr>
      <w:r w:rsidRPr="00075235">
        <w:rPr>
          <w:b/>
        </w:rPr>
        <w:lastRenderedPageBreak/>
        <w:t>B épület</w:t>
      </w:r>
    </w:p>
    <w:p w:rsidR="00075235" w:rsidRDefault="00075235" w:rsidP="00B202FB">
      <w:pPr>
        <w:jc w:val="both"/>
      </w:pPr>
      <w:r>
        <w:t>A B épületben 16 nem kifejezetten oktatóteremként regisztrált helyiségben tartottak órákat a vizsgált 6 félévben. Itt az átlag kihasználtság 9,96%-</w:t>
      </w:r>
      <w:proofErr w:type="spellStart"/>
      <w:r>
        <w:t>os</w:t>
      </w:r>
      <w:proofErr w:type="spellEnd"/>
      <w:r>
        <w:t>, melyhez 7,17 átlagos óraszám tartozik.</w:t>
      </w:r>
    </w:p>
    <w:p w:rsidR="00B45686" w:rsidRPr="007640F1" w:rsidRDefault="00B45686" w:rsidP="00B45686">
      <w:pPr>
        <w:jc w:val="both"/>
        <w:rPr>
          <w:i/>
        </w:rPr>
      </w:pPr>
      <w:r w:rsidRPr="007640F1">
        <w:rPr>
          <w:i/>
        </w:rPr>
        <w:t>Rendszertelenül használt helyiségek, kevés óraszámmal, vizsgával, néhány félév során:</w:t>
      </w:r>
    </w:p>
    <w:p w:rsidR="00B45686" w:rsidRDefault="00B45686" w:rsidP="00B202FB">
      <w:pPr>
        <w:jc w:val="both"/>
      </w:pPr>
      <w:r>
        <w:t xml:space="preserve">Ebbe, az 5% alatti átlag </w:t>
      </w:r>
      <w:proofErr w:type="spellStart"/>
      <w:r>
        <w:t>kihasználtságot</w:t>
      </w:r>
      <w:proofErr w:type="spellEnd"/>
      <w:r>
        <w:t xml:space="preserve"> mutató kategóriába 12 helyiség sorolható, melyek átlag kihasználtsága 0,65%</w:t>
      </w:r>
      <w:r w:rsidR="002140EF">
        <w:t>, átlagóraszáma 0,46 óra.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2030"/>
        <w:gridCol w:w="1759"/>
      </w:tblGrid>
      <w:tr w:rsidR="00075235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center"/>
          </w:tcPr>
          <w:p w:rsidR="00075235" w:rsidRPr="00623D18" w:rsidRDefault="00075235" w:rsidP="0007523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030" w:type="dxa"/>
            <w:vAlign w:val="center"/>
          </w:tcPr>
          <w:p w:rsidR="00075235" w:rsidRPr="002140EF" w:rsidRDefault="00075235" w:rsidP="002140EF">
            <w:pPr>
              <w:jc w:val="center"/>
              <w:rPr>
                <w:rFonts w:ascii="Calibri" w:hAnsi="Calibri" w:cs="Calibri"/>
                <w:b/>
              </w:rPr>
            </w:pPr>
            <w:r w:rsidRPr="002140EF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759" w:type="dxa"/>
          </w:tcPr>
          <w:p w:rsidR="00075235" w:rsidRPr="002140EF" w:rsidRDefault="00075235" w:rsidP="002140EF">
            <w:pPr>
              <w:jc w:val="center"/>
              <w:rPr>
                <w:rFonts w:ascii="Calibri" w:hAnsi="Calibri" w:cs="Calibri"/>
                <w:b/>
              </w:rPr>
            </w:pPr>
            <w:r w:rsidRPr="002140EF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.B.</w:t>
            </w:r>
            <w:proofErr w:type="gramEnd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I.113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0,46%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0,33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B.I.115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0,15%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0,10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B.II.209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0,14%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0,10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B.II.223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1,57%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1,12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B.II.225 (E</w:t>
            </w:r>
            <w:proofErr w:type="gramStart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.B.</w:t>
            </w:r>
            <w:proofErr w:type="gramEnd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II.225)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1,85%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1,33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B.III.301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0,16%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0,11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B.III.303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0,86%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0,61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B.III.306</w:t>
            </w:r>
          </w:p>
        </w:tc>
        <w:tc>
          <w:tcPr>
            <w:tcW w:w="2030" w:type="dxa"/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0,34%</w:t>
            </w:r>
          </w:p>
        </w:tc>
        <w:tc>
          <w:tcPr>
            <w:tcW w:w="1759" w:type="dxa"/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0,24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B.III.309/1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0,89%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0,64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B.III.309/2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0,46%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0,33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0,46%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0,33</w:t>
            </w:r>
          </w:p>
        </w:tc>
      </w:tr>
      <w:tr w:rsidR="00B45686" w:rsidRPr="00075235" w:rsidTr="00B45686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686" w:rsidRPr="00075235" w:rsidRDefault="00B4568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B.III.321 (E</w:t>
            </w:r>
            <w:proofErr w:type="gramStart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.B.</w:t>
            </w:r>
            <w:proofErr w:type="gramEnd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III.321)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686" w:rsidRPr="002140EF" w:rsidRDefault="00B45686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0,46%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0,33</w:t>
            </w:r>
          </w:p>
        </w:tc>
      </w:tr>
    </w:tbl>
    <w:p w:rsidR="00075235" w:rsidRDefault="00075235" w:rsidP="00B202FB">
      <w:pPr>
        <w:jc w:val="both"/>
      </w:pPr>
    </w:p>
    <w:p w:rsidR="00C51194" w:rsidRPr="00623D18" w:rsidRDefault="00C51194" w:rsidP="00C51194">
      <w:pPr>
        <w:jc w:val="both"/>
        <w:rPr>
          <w:i/>
        </w:rPr>
      </w:pPr>
      <w:r w:rsidRPr="00623D18">
        <w:rPr>
          <w:i/>
        </w:rPr>
        <w:t>Rendszeresen használt helyiségek, magasabb óraszámmal, 5% fölötti kihasználtsággal</w:t>
      </w:r>
    </w:p>
    <w:p w:rsidR="00C51194" w:rsidRDefault="00C51194" w:rsidP="00B202FB">
      <w:pPr>
        <w:jc w:val="both"/>
      </w:pPr>
      <w:r>
        <w:t>Ebbe, az 5% fölötti kategóriába 4 helyiség tartozik</w:t>
      </w:r>
      <w:r w:rsidR="002140EF">
        <w:t>, melyek átlag kihasználtsága 32,53% és az átlag óraszámuk heti 23,41 óra, a 6 félévre vonatkoztatva.</w:t>
      </w: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2088"/>
        <w:gridCol w:w="1701"/>
      </w:tblGrid>
      <w:tr w:rsidR="00C51194" w:rsidRPr="00075235" w:rsidTr="00C51194">
        <w:trPr>
          <w:trHeight w:val="300"/>
        </w:trPr>
        <w:tc>
          <w:tcPr>
            <w:tcW w:w="1168" w:type="dxa"/>
            <w:shd w:val="clear" w:color="auto" w:fill="auto"/>
            <w:noWrap/>
            <w:vAlign w:val="center"/>
          </w:tcPr>
          <w:p w:rsidR="00C51194" w:rsidRPr="00623D18" w:rsidRDefault="00C51194" w:rsidP="00C5119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088" w:type="dxa"/>
            <w:vAlign w:val="center"/>
          </w:tcPr>
          <w:p w:rsidR="00C51194" w:rsidRPr="002140EF" w:rsidRDefault="00C51194" w:rsidP="002140EF">
            <w:pPr>
              <w:jc w:val="center"/>
              <w:rPr>
                <w:rFonts w:ascii="Calibri" w:hAnsi="Calibri" w:cs="Calibri"/>
                <w:b/>
              </w:rPr>
            </w:pPr>
            <w:r w:rsidRPr="002140EF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701" w:type="dxa"/>
          </w:tcPr>
          <w:p w:rsidR="00C51194" w:rsidRPr="002140EF" w:rsidRDefault="00C51194" w:rsidP="002140EF">
            <w:pPr>
              <w:jc w:val="center"/>
              <w:rPr>
                <w:rFonts w:ascii="Calibri" w:hAnsi="Calibri" w:cs="Calibri"/>
                <w:b/>
              </w:rPr>
            </w:pPr>
            <w:r w:rsidRPr="002140EF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075235" w:rsidRPr="00075235" w:rsidTr="00C51194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75235" w:rsidRPr="00075235" w:rsidRDefault="00075235" w:rsidP="0007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B.FSZ Körterem</w:t>
            </w:r>
          </w:p>
        </w:tc>
        <w:tc>
          <w:tcPr>
            <w:tcW w:w="2088" w:type="dxa"/>
            <w:vAlign w:val="bottom"/>
          </w:tcPr>
          <w:p w:rsidR="00075235" w:rsidRPr="002140EF" w:rsidRDefault="00075235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41,91%</w:t>
            </w:r>
          </w:p>
        </w:tc>
        <w:tc>
          <w:tcPr>
            <w:tcW w:w="1701" w:type="dxa"/>
          </w:tcPr>
          <w:p w:rsidR="00075235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30,17</w:t>
            </w:r>
          </w:p>
        </w:tc>
      </w:tr>
      <w:tr w:rsidR="00075235" w:rsidRPr="00075235" w:rsidTr="00C51194">
        <w:trPr>
          <w:trHeight w:val="300"/>
        </w:trPr>
        <w:tc>
          <w:tcPr>
            <w:tcW w:w="1168" w:type="dxa"/>
            <w:shd w:val="clear" w:color="000000" w:fill="FFFF00"/>
            <w:noWrap/>
            <w:vAlign w:val="bottom"/>
            <w:hideMark/>
          </w:tcPr>
          <w:p w:rsidR="00075235" w:rsidRPr="00075235" w:rsidRDefault="00075235" w:rsidP="0007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B.FSZ</w:t>
            </w:r>
            <w:proofErr w:type="gramStart"/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.VIP</w:t>
            </w:r>
            <w:proofErr w:type="gramEnd"/>
          </w:p>
        </w:tc>
        <w:tc>
          <w:tcPr>
            <w:tcW w:w="2088" w:type="dxa"/>
            <w:shd w:val="clear" w:color="000000" w:fill="FFFF00"/>
            <w:vAlign w:val="bottom"/>
          </w:tcPr>
          <w:p w:rsidR="00075235" w:rsidRPr="002140EF" w:rsidRDefault="00075235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28,30%</w:t>
            </w:r>
          </w:p>
        </w:tc>
        <w:tc>
          <w:tcPr>
            <w:tcW w:w="1701" w:type="dxa"/>
            <w:shd w:val="clear" w:color="000000" w:fill="FFFF00"/>
          </w:tcPr>
          <w:p w:rsidR="00075235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20,37</w:t>
            </w:r>
          </w:p>
        </w:tc>
      </w:tr>
      <w:tr w:rsidR="00075235" w:rsidRPr="00075235" w:rsidTr="00C51194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75235" w:rsidRPr="00075235" w:rsidRDefault="00075235" w:rsidP="0007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B.I.117</w:t>
            </w:r>
          </w:p>
        </w:tc>
        <w:tc>
          <w:tcPr>
            <w:tcW w:w="2088" w:type="dxa"/>
            <w:vAlign w:val="bottom"/>
          </w:tcPr>
          <w:p w:rsidR="00075235" w:rsidRPr="002140EF" w:rsidRDefault="00075235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45,38%</w:t>
            </w:r>
          </w:p>
        </w:tc>
        <w:tc>
          <w:tcPr>
            <w:tcW w:w="1701" w:type="dxa"/>
          </w:tcPr>
          <w:p w:rsidR="00075235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32,67</w:t>
            </w:r>
          </w:p>
        </w:tc>
      </w:tr>
      <w:tr w:rsidR="00075235" w:rsidRPr="00075235" w:rsidTr="00C51194">
        <w:trPr>
          <w:trHeight w:val="300"/>
        </w:trPr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075235" w:rsidRPr="00075235" w:rsidRDefault="00075235" w:rsidP="0007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5235">
              <w:rPr>
                <w:rFonts w:ascii="Calibri" w:eastAsia="Times New Roman" w:hAnsi="Calibri" w:cs="Calibri"/>
                <w:color w:val="000000"/>
                <w:lang w:eastAsia="hu-HU"/>
              </w:rPr>
              <w:t>B.III.308</w:t>
            </w:r>
          </w:p>
        </w:tc>
        <w:tc>
          <w:tcPr>
            <w:tcW w:w="2088" w:type="dxa"/>
            <w:vAlign w:val="bottom"/>
          </w:tcPr>
          <w:p w:rsidR="00075235" w:rsidRPr="002140EF" w:rsidRDefault="00075235" w:rsidP="002140EF">
            <w:pPr>
              <w:jc w:val="center"/>
              <w:rPr>
                <w:rFonts w:ascii="Calibri" w:hAnsi="Calibri" w:cs="Calibri"/>
              </w:rPr>
            </w:pPr>
            <w:r w:rsidRPr="002140EF">
              <w:rPr>
                <w:rFonts w:ascii="Calibri" w:hAnsi="Calibri" w:cs="Calibri"/>
              </w:rPr>
              <w:t>14,54%</w:t>
            </w:r>
          </w:p>
        </w:tc>
        <w:tc>
          <w:tcPr>
            <w:tcW w:w="1701" w:type="dxa"/>
          </w:tcPr>
          <w:p w:rsidR="00075235" w:rsidRPr="002140EF" w:rsidRDefault="00C51194" w:rsidP="0021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2140EF">
              <w:rPr>
                <w:rFonts w:ascii="Calibri" w:eastAsia="Times New Roman" w:hAnsi="Calibri" w:cs="Calibri"/>
                <w:lang w:eastAsia="hu-HU"/>
              </w:rPr>
              <w:t>10,46</w:t>
            </w:r>
          </w:p>
        </w:tc>
      </w:tr>
    </w:tbl>
    <w:p w:rsidR="00075235" w:rsidRDefault="00075235" w:rsidP="00B202FB">
      <w:pPr>
        <w:jc w:val="both"/>
      </w:pPr>
    </w:p>
    <w:p w:rsidR="004E0A1E" w:rsidRDefault="004E0A1E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2D9FCFF6" wp14:editId="66F9E077">
            <wp:extent cx="5562600" cy="3228975"/>
            <wp:effectExtent l="0" t="0" r="0" b="9525"/>
            <wp:docPr id="44" name="Diagram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E0A1E" w:rsidRDefault="004E0A1E" w:rsidP="00B202FB">
      <w:pPr>
        <w:jc w:val="both"/>
      </w:pPr>
    </w:p>
    <w:p w:rsidR="004E0A1E" w:rsidRDefault="004E0A1E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B2515BE" wp14:editId="78BFCBB3">
            <wp:extent cx="5581650" cy="2133600"/>
            <wp:effectExtent l="0" t="0" r="0" b="0"/>
            <wp:docPr id="45" name="Diagram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22C85" w:rsidRDefault="00022C85" w:rsidP="00B202FB">
      <w:pPr>
        <w:jc w:val="both"/>
      </w:pPr>
    </w:p>
    <w:p w:rsidR="00022C85" w:rsidRDefault="00455A20" w:rsidP="00B202FB">
      <w:pPr>
        <w:jc w:val="both"/>
        <w:rPr>
          <w:b/>
        </w:rPr>
      </w:pPr>
      <w:r w:rsidRPr="00455A20">
        <w:rPr>
          <w:b/>
        </w:rPr>
        <w:t>Bartók Béla úti épület</w:t>
      </w:r>
      <w:r>
        <w:rPr>
          <w:b/>
        </w:rPr>
        <w:t xml:space="preserve"> (Gyakorló Iskola)</w:t>
      </w:r>
    </w:p>
    <w:p w:rsidR="00455A20" w:rsidRDefault="00455A20" w:rsidP="00B202FB">
      <w:pPr>
        <w:jc w:val="both"/>
      </w:pPr>
      <w:r w:rsidRPr="00455A20">
        <w:t>Ennek az épületnek a kapcsán csak összesített adatokat mutatnánk be, mert annyira kevés volt az itteni óraszám</w:t>
      </w:r>
      <w:r>
        <w:t>, (a vizsgált utolsó félévben már egyáltalán nem volt itt óra)</w:t>
      </w:r>
      <w:r w:rsidRPr="00455A20">
        <w:t xml:space="preserve">, hogy </w:t>
      </w:r>
      <w:r>
        <w:t xml:space="preserve">elegendőnek gondoljuk az összesítéseket. Az épületben lévő 10 helyiség/terem volt használatban változó intenzitással – a </w:t>
      </w:r>
      <w:proofErr w:type="spellStart"/>
      <w:r w:rsidR="00564A60">
        <w:t>legkihas</w:t>
      </w:r>
      <w:r>
        <w:t>z</w:t>
      </w:r>
      <w:r w:rsidR="00564A60">
        <w:t>n</w:t>
      </w:r>
      <w:r>
        <w:t>áltabb</w:t>
      </w:r>
      <w:proofErr w:type="spellEnd"/>
      <w:r>
        <w:t xml:space="preserve"> terem is csak 4 félévben volt igénybe véve (így volt 6,49% a kihasználtsága, ez a 222-es terem), az egyetemi oktatás számára. E szerint a 6 félév átlagai: 1,78%-</w:t>
      </w:r>
      <w:proofErr w:type="spellStart"/>
      <w:r>
        <w:t>os</w:t>
      </w:r>
      <w:proofErr w:type="spellEnd"/>
      <w:r>
        <w:t xml:space="preserve"> kihasználtság, heti 1,28 óra.</w:t>
      </w:r>
    </w:p>
    <w:p w:rsidR="00543477" w:rsidRDefault="00543477" w:rsidP="00B202FB">
      <w:pPr>
        <w:jc w:val="both"/>
        <w:rPr>
          <w:b/>
        </w:rPr>
      </w:pPr>
    </w:p>
    <w:p w:rsidR="00D75DED" w:rsidRPr="00D75DED" w:rsidRDefault="00D75DED" w:rsidP="00B202FB">
      <w:pPr>
        <w:jc w:val="both"/>
        <w:rPr>
          <w:b/>
        </w:rPr>
      </w:pPr>
      <w:r w:rsidRPr="00D75DED">
        <w:rPr>
          <w:b/>
        </w:rPr>
        <w:t>C épület</w:t>
      </w:r>
    </w:p>
    <w:p w:rsidR="00D75DED" w:rsidRDefault="00D75DED" w:rsidP="00B202FB">
      <w:pPr>
        <w:jc w:val="both"/>
      </w:pPr>
      <w:r>
        <w:lastRenderedPageBreak/>
        <w:t xml:space="preserve">Az épületben 3 nem oktatásra szánt helyiségben tartottak órákat, melyből a </w:t>
      </w:r>
      <w:proofErr w:type="spellStart"/>
      <w:r w:rsidR="00543477">
        <w:t>Fsz</w:t>
      </w:r>
      <w:proofErr w:type="spellEnd"/>
      <w:r w:rsidR="00543477">
        <w:t xml:space="preserve"> 16-os „üzemelt” mind a 6 félévben, a C* csak az utolsó 2 félévben működött. Így az átlagok a következőképpen alakultak: 3,47%-</w:t>
      </w:r>
      <w:proofErr w:type="spellStart"/>
      <w:r w:rsidR="00543477">
        <w:t>os</w:t>
      </w:r>
      <w:proofErr w:type="spellEnd"/>
      <w:r w:rsidR="00543477">
        <w:t xml:space="preserve"> kihasználtság, 2,50 átlagos heti óraszám.</w:t>
      </w: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54"/>
        <w:gridCol w:w="1701"/>
      </w:tblGrid>
      <w:tr w:rsidR="00543477" w:rsidRPr="00D75DED" w:rsidTr="0054347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543477" w:rsidRPr="00623D18" w:rsidRDefault="00543477" w:rsidP="0054347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154" w:type="dxa"/>
            <w:vAlign w:val="center"/>
          </w:tcPr>
          <w:p w:rsidR="00543477" w:rsidRPr="00543477" w:rsidRDefault="00543477" w:rsidP="00543477">
            <w:pPr>
              <w:jc w:val="center"/>
              <w:rPr>
                <w:rFonts w:ascii="Calibri" w:hAnsi="Calibri" w:cs="Calibri"/>
                <w:b/>
              </w:rPr>
            </w:pPr>
            <w:r w:rsidRPr="00543477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701" w:type="dxa"/>
          </w:tcPr>
          <w:p w:rsidR="00543477" w:rsidRPr="002140EF" w:rsidRDefault="00543477" w:rsidP="00543477">
            <w:pPr>
              <w:jc w:val="center"/>
              <w:rPr>
                <w:rFonts w:ascii="Calibri" w:hAnsi="Calibri" w:cs="Calibri"/>
                <w:b/>
              </w:rPr>
            </w:pPr>
            <w:r w:rsidRPr="002140EF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543477" w:rsidRPr="00D75DED" w:rsidTr="005434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3477" w:rsidRPr="00D75DED" w:rsidRDefault="00543477" w:rsidP="0054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5DED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D75DED">
              <w:rPr>
                <w:rFonts w:ascii="Calibri" w:eastAsia="Times New Roman" w:hAnsi="Calibri" w:cs="Calibri"/>
                <w:color w:val="000000"/>
                <w:lang w:eastAsia="hu-HU"/>
              </w:rPr>
              <w:t>.C</w:t>
            </w:r>
            <w:proofErr w:type="gramEnd"/>
            <w:r w:rsidRPr="00D75DE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*.3. </w:t>
            </w:r>
          </w:p>
        </w:tc>
        <w:tc>
          <w:tcPr>
            <w:tcW w:w="2154" w:type="dxa"/>
            <w:vAlign w:val="bottom"/>
          </w:tcPr>
          <w:p w:rsidR="00543477" w:rsidRPr="00543477" w:rsidRDefault="00543477" w:rsidP="00543477">
            <w:pPr>
              <w:jc w:val="center"/>
              <w:rPr>
                <w:rFonts w:ascii="Calibri" w:hAnsi="Calibri" w:cs="Calibri"/>
              </w:rPr>
            </w:pPr>
            <w:r w:rsidRPr="00543477">
              <w:rPr>
                <w:rFonts w:ascii="Calibri" w:hAnsi="Calibri" w:cs="Calibri"/>
              </w:rPr>
              <w:t>6,47%</w:t>
            </w:r>
          </w:p>
        </w:tc>
        <w:tc>
          <w:tcPr>
            <w:tcW w:w="1701" w:type="dxa"/>
          </w:tcPr>
          <w:p w:rsidR="00543477" w:rsidRPr="00D75DED" w:rsidRDefault="00543477" w:rsidP="00543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4,65</w:t>
            </w:r>
          </w:p>
        </w:tc>
      </w:tr>
      <w:tr w:rsidR="00543477" w:rsidRPr="00D75DED" w:rsidTr="005434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3477" w:rsidRPr="00D75DED" w:rsidRDefault="00543477" w:rsidP="0054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5DED">
              <w:rPr>
                <w:rFonts w:ascii="Calibri" w:eastAsia="Times New Roman" w:hAnsi="Calibri" w:cs="Calibri"/>
                <w:color w:val="000000"/>
                <w:lang w:eastAsia="hu-HU"/>
              </w:rPr>
              <w:t>C.Fsz.14</w:t>
            </w:r>
          </w:p>
        </w:tc>
        <w:tc>
          <w:tcPr>
            <w:tcW w:w="2154" w:type="dxa"/>
            <w:vAlign w:val="bottom"/>
          </w:tcPr>
          <w:p w:rsidR="00543477" w:rsidRPr="00543477" w:rsidRDefault="00543477" w:rsidP="00543477">
            <w:pPr>
              <w:jc w:val="center"/>
              <w:rPr>
                <w:rFonts w:ascii="Calibri" w:hAnsi="Calibri" w:cs="Calibri"/>
              </w:rPr>
            </w:pPr>
            <w:r w:rsidRPr="00543477">
              <w:rPr>
                <w:rFonts w:ascii="Calibri" w:hAnsi="Calibri" w:cs="Calibri"/>
              </w:rPr>
              <w:t>0,18%</w:t>
            </w:r>
          </w:p>
        </w:tc>
        <w:tc>
          <w:tcPr>
            <w:tcW w:w="1701" w:type="dxa"/>
          </w:tcPr>
          <w:p w:rsidR="00543477" w:rsidRPr="00D75DED" w:rsidRDefault="00543477" w:rsidP="00543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0,12</w:t>
            </w:r>
          </w:p>
        </w:tc>
      </w:tr>
      <w:tr w:rsidR="00543477" w:rsidRPr="00D75DED" w:rsidTr="0054347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3477" w:rsidRPr="00D75DED" w:rsidRDefault="00543477" w:rsidP="00543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75DED">
              <w:rPr>
                <w:rFonts w:ascii="Calibri" w:eastAsia="Times New Roman" w:hAnsi="Calibri" w:cs="Calibri"/>
                <w:color w:val="000000"/>
                <w:lang w:eastAsia="hu-HU"/>
              </w:rPr>
              <w:t>C.Fsz.16</w:t>
            </w:r>
          </w:p>
        </w:tc>
        <w:tc>
          <w:tcPr>
            <w:tcW w:w="2154" w:type="dxa"/>
            <w:vAlign w:val="bottom"/>
          </w:tcPr>
          <w:p w:rsidR="00543477" w:rsidRPr="00543477" w:rsidRDefault="00543477" w:rsidP="00543477">
            <w:pPr>
              <w:jc w:val="center"/>
              <w:rPr>
                <w:rFonts w:ascii="Calibri" w:hAnsi="Calibri" w:cs="Calibri"/>
              </w:rPr>
            </w:pPr>
            <w:r w:rsidRPr="00543477">
              <w:rPr>
                <w:rFonts w:ascii="Calibri" w:hAnsi="Calibri" w:cs="Calibri"/>
              </w:rPr>
              <w:t>2,55%</w:t>
            </w:r>
          </w:p>
        </w:tc>
        <w:tc>
          <w:tcPr>
            <w:tcW w:w="1701" w:type="dxa"/>
          </w:tcPr>
          <w:p w:rsidR="00543477" w:rsidRPr="00D75DED" w:rsidRDefault="00543477" w:rsidP="00543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1,83</w:t>
            </w:r>
          </w:p>
        </w:tc>
      </w:tr>
    </w:tbl>
    <w:p w:rsidR="00D75DED" w:rsidRDefault="00D75DED" w:rsidP="00B202FB">
      <w:pPr>
        <w:jc w:val="both"/>
      </w:pPr>
    </w:p>
    <w:p w:rsidR="00543477" w:rsidRDefault="00543477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70F67C46" wp14:editId="3B0A7926">
            <wp:extent cx="5572125" cy="2714625"/>
            <wp:effectExtent l="0" t="0" r="9525" b="9525"/>
            <wp:docPr id="46" name="Diagram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43477" w:rsidRDefault="00543477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BD67A0D" wp14:editId="0E1516FF">
            <wp:extent cx="5553075" cy="1752600"/>
            <wp:effectExtent l="0" t="0" r="9525" b="0"/>
            <wp:docPr id="47" name="Diagram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F7326" w:rsidRDefault="001F7326" w:rsidP="00B202FB">
      <w:pPr>
        <w:jc w:val="both"/>
      </w:pPr>
    </w:p>
    <w:p w:rsidR="001F7326" w:rsidRPr="0075409D" w:rsidRDefault="001F7326" w:rsidP="00B202FB">
      <w:pPr>
        <w:jc w:val="both"/>
        <w:rPr>
          <w:b/>
        </w:rPr>
      </w:pPr>
      <w:r w:rsidRPr="0075409D">
        <w:rPr>
          <w:b/>
        </w:rPr>
        <w:t>D épület</w:t>
      </w:r>
    </w:p>
    <w:p w:rsidR="001F7326" w:rsidRDefault="001F7326" w:rsidP="00B202FB">
      <w:pPr>
        <w:jc w:val="both"/>
      </w:pPr>
      <w:r>
        <w:t>Az épületben 14 helyiségben zajlottak órák, vizsgák a vizsgált 6 félévben.</w:t>
      </w:r>
      <w:r w:rsidR="00BD239B">
        <w:t xml:space="preserve"> Ezek átlagai 9,42%-</w:t>
      </w:r>
      <w:proofErr w:type="spellStart"/>
      <w:r w:rsidR="00BD239B">
        <w:t>os</w:t>
      </w:r>
      <w:proofErr w:type="spellEnd"/>
      <w:r w:rsidR="00BD239B">
        <w:t xml:space="preserve"> kihasználtság, átlag heti 6,78 óra.</w:t>
      </w:r>
    </w:p>
    <w:p w:rsidR="001F7326" w:rsidRDefault="001F7326" w:rsidP="001F7326">
      <w:pPr>
        <w:jc w:val="both"/>
        <w:rPr>
          <w:i/>
        </w:rPr>
      </w:pPr>
      <w:r w:rsidRPr="007640F1">
        <w:rPr>
          <w:i/>
        </w:rPr>
        <w:t>Rendszertelenül használt helyiségek, kevés óraszámmal</w:t>
      </w:r>
      <w:r w:rsidR="0075409D">
        <w:rPr>
          <w:i/>
        </w:rPr>
        <w:t>, vizsgával, néhány félév során</w:t>
      </w:r>
    </w:p>
    <w:p w:rsidR="0075409D" w:rsidRDefault="0075409D" w:rsidP="001F7326">
      <w:pPr>
        <w:jc w:val="both"/>
      </w:pPr>
      <w:r>
        <w:t>Ebbe a kategóriába az épület 6 helyisége sorolható, ahol az átlag kihasználtság 2,77%, az átlag óraszám pedig 1,99 óra/hét. Ezek közül például a 115-ös helyiség egyetlen félévben került bevonásra, ott is egy vizsga erejéig.</w:t>
      </w:r>
    </w:p>
    <w:p w:rsidR="00AC49F3" w:rsidRDefault="00AC49F3" w:rsidP="001F7326">
      <w:pPr>
        <w:jc w:val="both"/>
      </w:pPr>
    </w:p>
    <w:p w:rsidR="00AC49F3" w:rsidRPr="0075409D" w:rsidRDefault="00AC49F3" w:rsidP="001F7326">
      <w:pPr>
        <w:jc w:val="both"/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983"/>
        <w:gridCol w:w="1559"/>
      </w:tblGrid>
      <w:tr w:rsidR="0075409D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</w:tcPr>
          <w:p w:rsidR="0075409D" w:rsidRPr="00623D18" w:rsidRDefault="0075409D" w:rsidP="0075409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1983" w:type="dxa"/>
            <w:vAlign w:val="center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  <w:b/>
              </w:rPr>
            </w:pPr>
            <w:r w:rsidRPr="0075409D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559" w:type="dxa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  <w:b/>
              </w:rPr>
            </w:pPr>
            <w:r w:rsidRPr="0075409D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75409D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75409D" w:rsidRPr="001F7326" w:rsidRDefault="0075409D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D.I.115</w:t>
            </w:r>
          </w:p>
        </w:tc>
        <w:tc>
          <w:tcPr>
            <w:tcW w:w="1983" w:type="dxa"/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0,14%</w:t>
            </w:r>
          </w:p>
        </w:tc>
        <w:tc>
          <w:tcPr>
            <w:tcW w:w="1559" w:type="dxa"/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0,102564</w:t>
            </w:r>
          </w:p>
        </w:tc>
      </w:tr>
      <w:tr w:rsidR="0075409D" w:rsidRPr="001F7326" w:rsidTr="007540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9D" w:rsidRPr="001F7326" w:rsidRDefault="0075409D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3,17%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2,285714</w:t>
            </w:r>
          </w:p>
        </w:tc>
      </w:tr>
      <w:tr w:rsidR="0075409D" w:rsidRPr="001F7326" w:rsidTr="007540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9D" w:rsidRPr="001F7326" w:rsidRDefault="0075409D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6,47%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4,657509</w:t>
            </w:r>
          </w:p>
        </w:tc>
      </w:tr>
      <w:tr w:rsidR="0075409D" w:rsidRPr="001F7326" w:rsidTr="007540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9D" w:rsidRPr="001F7326" w:rsidRDefault="0075409D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D.I.232/A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0,54%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0,391026</w:t>
            </w:r>
          </w:p>
        </w:tc>
      </w:tr>
      <w:tr w:rsidR="0075409D" w:rsidRPr="001F7326" w:rsidTr="007540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9D" w:rsidRPr="001F7326" w:rsidRDefault="0075409D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D.III.410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</w:t>
            </w:r>
          </w:p>
        </w:tc>
      </w:tr>
      <w:tr w:rsidR="0075409D" w:rsidRPr="001F7326" w:rsidTr="007540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09D" w:rsidRPr="001F7326" w:rsidRDefault="0075409D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DARTS </w:t>
            </w:r>
            <w:proofErr w:type="spellStart"/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ea</w:t>
            </w:r>
            <w:proofErr w:type="spellEnd"/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4,91%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09D" w:rsidRPr="0075409D" w:rsidRDefault="0075409D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3,538462</w:t>
            </w:r>
          </w:p>
        </w:tc>
      </w:tr>
    </w:tbl>
    <w:p w:rsidR="001F7326" w:rsidRDefault="001F7326" w:rsidP="00B202FB">
      <w:pPr>
        <w:jc w:val="both"/>
      </w:pPr>
    </w:p>
    <w:p w:rsidR="0075409D" w:rsidRPr="00623D18" w:rsidRDefault="0075409D" w:rsidP="0075409D">
      <w:pPr>
        <w:jc w:val="both"/>
        <w:rPr>
          <w:i/>
        </w:rPr>
      </w:pPr>
      <w:r w:rsidRPr="00623D18">
        <w:rPr>
          <w:i/>
        </w:rPr>
        <w:t>Rendszeresen használt helyiségek, magasabb óraszámmal, 5% fölötti kihasználtsággal</w:t>
      </w:r>
    </w:p>
    <w:p w:rsidR="0075409D" w:rsidRDefault="0075409D" w:rsidP="00B202FB">
      <w:pPr>
        <w:jc w:val="both"/>
      </w:pPr>
      <w:r>
        <w:t>Ebbe a kategóriába 8 helyiség tartozik, átlag kihasználtságuk 12,86%, átlag óraszámuk 9,25 óra.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983"/>
        <w:gridCol w:w="1701"/>
      </w:tblGrid>
      <w:tr w:rsidR="0075409D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center"/>
          </w:tcPr>
          <w:p w:rsidR="0075409D" w:rsidRPr="00623D18" w:rsidRDefault="0075409D" w:rsidP="006D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1983" w:type="dxa"/>
            <w:vAlign w:val="center"/>
          </w:tcPr>
          <w:p w:rsidR="0075409D" w:rsidRPr="0075409D" w:rsidRDefault="0075409D" w:rsidP="006D365E">
            <w:pPr>
              <w:jc w:val="center"/>
              <w:rPr>
                <w:rFonts w:ascii="Calibri" w:hAnsi="Calibri" w:cs="Calibri"/>
                <w:b/>
              </w:rPr>
            </w:pPr>
            <w:r w:rsidRPr="0075409D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701" w:type="dxa"/>
          </w:tcPr>
          <w:p w:rsidR="0075409D" w:rsidRPr="0075409D" w:rsidRDefault="0075409D" w:rsidP="006D365E">
            <w:pPr>
              <w:jc w:val="center"/>
              <w:rPr>
                <w:rFonts w:ascii="Calibri" w:hAnsi="Calibri" w:cs="Calibri"/>
                <w:b/>
              </w:rPr>
            </w:pPr>
            <w:r w:rsidRPr="0075409D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D.I.114/A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8,91%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6,413919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D.I.214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10,14%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7,300366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D.I.215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23,56%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16,96337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D.I.216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21,69%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15,61813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D.I.217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13,90%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10,00458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D.I.232/B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10,43%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7,50641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D.II.318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6,27%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4,512821</w:t>
            </w:r>
          </w:p>
        </w:tc>
      </w:tr>
      <w:tr w:rsidR="001F7326" w:rsidRPr="001F7326" w:rsidTr="0075409D">
        <w:trPr>
          <w:trHeight w:val="300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1F7326" w:rsidRPr="001F7326" w:rsidRDefault="001F7326" w:rsidP="001F7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F7326">
              <w:rPr>
                <w:rFonts w:ascii="Calibri" w:eastAsia="Times New Roman" w:hAnsi="Calibri" w:cs="Calibri"/>
                <w:color w:val="000000"/>
                <w:lang w:eastAsia="hu-HU"/>
              </w:rPr>
              <w:t>D.II.319</w:t>
            </w:r>
          </w:p>
        </w:tc>
        <w:tc>
          <w:tcPr>
            <w:tcW w:w="1983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7,97%</w:t>
            </w:r>
          </w:p>
        </w:tc>
        <w:tc>
          <w:tcPr>
            <w:tcW w:w="1701" w:type="dxa"/>
            <w:vAlign w:val="bottom"/>
          </w:tcPr>
          <w:p w:rsidR="001F7326" w:rsidRPr="0075409D" w:rsidRDefault="001F7326" w:rsidP="0075409D">
            <w:pPr>
              <w:jc w:val="center"/>
              <w:rPr>
                <w:rFonts w:ascii="Calibri" w:hAnsi="Calibri" w:cs="Calibri"/>
              </w:rPr>
            </w:pPr>
            <w:r w:rsidRPr="0075409D">
              <w:rPr>
                <w:rFonts w:ascii="Calibri" w:hAnsi="Calibri" w:cs="Calibri"/>
              </w:rPr>
              <w:t>5,736264</w:t>
            </w:r>
          </w:p>
        </w:tc>
      </w:tr>
    </w:tbl>
    <w:p w:rsidR="001F7326" w:rsidRDefault="001F7326" w:rsidP="00B202FB">
      <w:pPr>
        <w:jc w:val="both"/>
      </w:pPr>
    </w:p>
    <w:p w:rsidR="00B741DD" w:rsidRDefault="00B741DD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5A1FF90C" wp14:editId="17A214FB">
            <wp:extent cx="5800725" cy="2905125"/>
            <wp:effectExtent l="0" t="0" r="9525" b="9525"/>
            <wp:docPr id="48" name="Diagram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C2DB4" w:rsidRDefault="000C2DB4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400BAFEF" wp14:editId="1B6939FF">
            <wp:extent cx="5715000" cy="1847850"/>
            <wp:effectExtent l="0" t="0" r="0" b="0"/>
            <wp:docPr id="49" name="Diagram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D365E" w:rsidRDefault="006D365E" w:rsidP="00B202FB">
      <w:pPr>
        <w:jc w:val="both"/>
      </w:pPr>
    </w:p>
    <w:p w:rsidR="006D365E" w:rsidRPr="00C27D7A" w:rsidRDefault="006D365E" w:rsidP="00B202FB">
      <w:pPr>
        <w:jc w:val="both"/>
        <w:rPr>
          <w:b/>
        </w:rPr>
      </w:pPr>
      <w:r w:rsidRPr="00C27D7A">
        <w:rPr>
          <w:b/>
        </w:rPr>
        <w:t>E épület</w:t>
      </w:r>
    </w:p>
    <w:p w:rsidR="00C27D7A" w:rsidRDefault="006D365E" w:rsidP="00B202FB">
      <w:pPr>
        <w:jc w:val="both"/>
      </w:pPr>
      <w:r>
        <w:t>Ebben az épületben vagy ennek a tevékenységéhez kapcsolódóan 7 helyiséget vizsgáltunk, ahol az átlag kihasználtság 10,29%, átlag óraszám 7,40óra/hét. A táblázatban szereplő első 4 helyiség 5% alatti kihasználtságú (ebből is az első kettőben mindössze 1 félév során volt óratartás)</w:t>
      </w:r>
      <w:r w:rsidR="00C27D7A">
        <w:t>. Ezek átlagai: 2,23%-</w:t>
      </w:r>
      <w:proofErr w:type="spellStart"/>
      <w:r w:rsidR="00C27D7A">
        <w:t>os</w:t>
      </w:r>
      <w:proofErr w:type="spellEnd"/>
      <w:r w:rsidR="00C27D7A">
        <w:t xml:space="preserve"> kihasználtság, 1,60 óra/hét.</w:t>
      </w:r>
    </w:p>
    <w:p w:rsidR="006D365E" w:rsidRDefault="00C27D7A" w:rsidP="00B202FB">
      <w:pPr>
        <w:jc w:val="both"/>
      </w:pPr>
      <w:r>
        <w:t>A</w:t>
      </w:r>
      <w:r w:rsidR="006D365E">
        <w:t xml:space="preserve">z utolsó 3 </w:t>
      </w:r>
      <w:r>
        <w:t xml:space="preserve">helyiség </w:t>
      </w:r>
      <w:r w:rsidR="006D365E">
        <w:t>5% feletti</w:t>
      </w:r>
      <w:r>
        <w:t xml:space="preserve"> – ebből kettő az uszoda 1-1 pályáját jelenti</w:t>
      </w:r>
      <w:r w:rsidR="006D365E">
        <w:t xml:space="preserve">. </w:t>
      </w:r>
      <w:r>
        <w:t>Ezek 16,64%-</w:t>
      </w:r>
      <w:proofErr w:type="spellStart"/>
      <w:r>
        <w:t>os</w:t>
      </w:r>
      <w:proofErr w:type="spellEnd"/>
      <w:r>
        <w:t xml:space="preserve"> átlag </w:t>
      </w:r>
      <w:proofErr w:type="spellStart"/>
      <w:r>
        <w:t>kihasználtságot</w:t>
      </w:r>
      <w:proofErr w:type="spellEnd"/>
      <w:r>
        <w:t xml:space="preserve"> mutatnak, 11,98 órával egy héten.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842"/>
      </w:tblGrid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</w:tcPr>
          <w:p w:rsidR="006D365E" w:rsidRPr="00623D18" w:rsidRDefault="006D365E" w:rsidP="006D3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1985" w:type="dxa"/>
            <w:vAlign w:val="center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  <w:b/>
              </w:rPr>
            </w:pPr>
            <w:r w:rsidRPr="006D365E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842" w:type="dxa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  <w:b/>
              </w:rPr>
            </w:pPr>
            <w:r w:rsidRPr="006D365E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E.-.ATLB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0,48%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0,346154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E.-.KEZLA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0,96%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0,692308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E.-.LBDA/C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3,74%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2,692308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E.-.TENPA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3,72%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2,679487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E.-.USZ/A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30,73%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22,12637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E.-.USZ/B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11,95%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8,602564</w:t>
            </w:r>
          </w:p>
        </w:tc>
      </w:tr>
      <w:tr w:rsidR="006D365E" w:rsidRPr="006D365E" w:rsidTr="006D365E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6D365E" w:rsidRPr="006D365E" w:rsidRDefault="006D365E" w:rsidP="006D3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.Fsz.</w:t>
            </w:r>
            <w:proofErr w:type="gramEnd"/>
            <w:r w:rsidRPr="006D365E">
              <w:rPr>
                <w:rFonts w:ascii="Calibri" w:eastAsia="Times New Roman" w:hAnsi="Calibri" w:cs="Calibri"/>
                <w:color w:val="000000"/>
                <w:lang w:eastAsia="hu-HU"/>
              </w:rPr>
              <w:t>.3</w:t>
            </w:r>
          </w:p>
        </w:tc>
        <w:tc>
          <w:tcPr>
            <w:tcW w:w="1985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7,25%</w:t>
            </w:r>
          </w:p>
        </w:tc>
        <w:tc>
          <w:tcPr>
            <w:tcW w:w="1842" w:type="dxa"/>
            <w:vAlign w:val="bottom"/>
          </w:tcPr>
          <w:p w:rsidR="006D365E" w:rsidRPr="006D365E" w:rsidRDefault="006D365E" w:rsidP="006D365E">
            <w:pPr>
              <w:jc w:val="center"/>
              <w:rPr>
                <w:rFonts w:ascii="Calibri" w:hAnsi="Calibri" w:cs="Calibri"/>
              </w:rPr>
            </w:pPr>
            <w:r w:rsidRPr="006D365E">
              <w:rPr>
                <w:rFonts w:ascii="Calibri" w:hAnsi="Calibri" w:cs="Calibri"/>
              </w:rPr>
              <w:t>5,223443</w:t>
            </w:r>
          </w:p>
        </w:tc>
      </w:tr>
    </w:tbl>
    <w:p w:rsidR="006D365E" w:rsidRDefault="006D365E" w:rsidP="00B202FB">
      <w:pPr>
        <w:jc w:val="both"/>
      </w:pPr>
    </w:p>
    <w:p w:rsidR="00186E53" w:rsidRDefault="00186E53" w:rsidP="00B202FB">
      <w:pPr>
        <w:jc w:val="both"/>
      </w:pPr>
    </w:p>
    <w:p w:rsidR="00186E53" w:rsidRPr="00186E53" w:rsidRDefault="00186E53" w:rsidP="00B202FB">
      <w:pPr>
        <w:jc w:val="both"/>
        <w:rPr>
          <w:b/>
        </w:rPr>
      </w:pPr>
      <w:r w:rsidRPr="00186E53">
        <w:rPr>
          <w:b/>
        </w:rPr>
        <w:t>Érsekkert</w:t>
      </w:r>
    </w:p>
    <w:p w:rsidR="00186E53" w:rsidRDefault="00186E53" w:rsidP="00B202FB">
      <w:pPr>
        <w:jc w:val="both"/>
      </w:pPr>
    </w:p>
    <w:p w:rsidR="00186E53" w:rsidRDefault="00186E53" w:rsidP="00B202FB">
      <w:pPr>
        <w:jc w:val="both"/>
      </w:pPr>
      <w:r>
        <w:t>Ebben az épületben 10 olyan helyiség volt a 6 félév során melyet óratartásra vettek igénybe.</w:t>
      </w:r>
      <w:r w:rsidR="00C150A3">
        <w:t xml:space="preserve"> Ebből 6 db 5% alatti kihasználtsággal, ezek átlagai: 2,05%-</w:t>
      </w:r>
      <w:proofErr w:type="spellStart"/>
      <w:r w:rsidR="00C150A3">
        <w:t>os</w:t>
      </w:r>
      <w:proofErr w:type="spellEnd"/>
      <w:r w:rsidR="00C150A3">
        <w:t xml:space="preserve"> kihasználtság, 1,47 óra/hét. A 4 db 5% fölötti helyiség kapcsán az átlagok: 19%-</w:t>
      </w:r>
      <w:proofErr w:type="spellStart"/>
      <w:r w:rsidR="00C150A3">
        <w:t>os</w:t>
      </w:r>
      <w:proofErr w:type="spellEnd"/>
      <w:r w:rsidR="00C150A3">
        <w:t xml:space="preserve"> kihasználtság, 13,67 átlagóraszám/hét. Ezek közül az alagsor 8-as helyiség és a II.220-as helyiség folyamatos terhelést mutat.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842"/>
      </w:tblGrid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</w:tcPr>
          <w:p w:rsidR="0055564A" w:rsidRPr="00623D18" w:rsidRDefault="0055564A" w:rsidP="00555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268" w:type="dxa"/>
            <w:vAlign w:val="center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  <w:b/>
              </w:rPr>
            </w:pPr>
            <w:r w:rsidRPr="0055564A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842" w:type="dxa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  <w:b/>
              </w:rPr>
            </w:pPr>
            <w:r w:rsidRPr="0055564A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186E53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86E53" w:rsidRPr="00186E53" w:rsidRDefault="00186E53" w:rsidP="0018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.10</w:t>
            </w:r>
          </w:p>
        </w:tc>
        <w:tc>
          <w:tcPr>
            <w:tcW w:w="2268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3,79%</w:t>
            </w:r>
          </w:p>
        </w:tc>
        <w:tc>
          <w:tcPr>
            <w:tcW w:w="1842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2,728938</w:t>
            </w:r>
          </w:p>
        </w:tc>
      </w:tr>
      <w:tr w:rsidR="00186E53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86E53" w:rsidRPr="00186E53" w:rsidRDefault="00186E53" w:rsidP="0018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.14</w:t>
            </w:r>
          </w:p>
        </w:tc>
        <w:tc>
          <w:tcPr>
            <w:tcW w:w="2268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2,71%</w:t>
            </w:r>
          </w:p>
        </w:tc>
        <w:tc>
          <w:tcPr>
            <w:tcW w:w="1842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1,952381</w:t>
            </w:r>
          </w:p>
        </w:tc>
      </w:tr>
      <w:tr w:rsidR="00186E53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86E53" w:rsidRPr="00186E53" w:rsidRDefault="00186E53" w:rsidP="0018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.6</w:t>
            </w:r>
          </w:p>
        </w:tc>
        <w:tc>
          <w:tcPr>
            <w:tcW w:w="2268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0,32%</w:t>
            </w:r>
          </w:p>
        </w:tc>
        <w:tc>
          <w:tcPr>
            <w:tcW w:w="1842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0,230769</w:t>
            </w:r>
          </w:p>
        </w:tc>
      </w:tr>
      <w:tr w:rsidR="00186E53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186E53" w:rsidRPr="00186E53" w:rsidRDefault="00186E53" w:rsidP="00186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.7</w:t>
            </w:r>
          </w:p>
        </w:tc>
        <w:tc>
          <w:tcPr>
            <w:tcW w:w="2268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2,46%</w:t>
            </w:r>
          </w:p>
        </w:tc>
        <w:tc>
          <w:tcPr>
            <w:tcW w:w="1842" w:type="dxa"/>
            <w:vAlign w:val="bottom"/>
          </w:tcPr>
          <w:p w:rsidR="00186E53" w:rsidRPr="0055564A" w:rsidRDefault="00186E53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1,769231</w:t>
            </w:r>
          </w:p>
        </w:tc>
      </w:tr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:rsidR="0055564A" w:rsidRPr="00186E53" w:rsidRDefault="0055564A" w:rsidP="00555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.9</w:t>
            </w:r>
          </w:p>
        </w:tc>
        <w:tc>
          <w:tcPr>
            <w:tcW w:w="2268" w:type="dxa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2,39%</w:t>
            </w:r>
          </w:p>
        </w:tc>
        <w:tc>
          <w:tcPr>
            <w:tcW w:w="1842" w:type="dxa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1,717949</w:t>
            </w:r>
          </w:p>
        </w:tc>
      </w:tr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5564A" w:rsidRPr="00186E53" w:rsidRDefault="0055564A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  <w:tc>
          <w:tcPr>
            <w:tcW w:w="2268" w:type="dxa"/>
            <w:vAlign w:val="bottom"/>
          </w:tcPr>
          <w:p w:rsidR="0055564A" w:rsidRPr="0055564A" w:rsidRDefault="0055564A" w:rsidP="009637E8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0,64%</w:t>
            </w:r>
          </w:p>
        </w:tc>
        <w:tc>
          <w:tcPr>
            <w:tcW w:w="1842" w:type="dxa"/>
            <w:vAlign w:val="bottom"/>
          </w:tcPr>
          <w:p w:rsidR="0055564A" w:rsidRPr="0055564A" w:rsidRDefault="0055564A" w:rsidP="009637E8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0,461538</w:t>
            </w:r>
          </w:p>
        </w:tc>
      </w:tr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385623" w:themeFill="accent6" w:themeFillShade="80"/>
            <w:noWrap/>
            <w:vAlign w:val="bottom"/>
            <w:hideMark/>
          </w:tcPr>
          <w:p w:rsidR="0055564A" w:rsidRPr="00186E53" w:rsidRDefault="0055564A" w:rsidP="00555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.Als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.8</w:t>
            </w:r>
          </w:p>
        </w:tc>
        <w:tc>
          <w:tcPr>
            <w:tcW w:w="2268" w:type="dxa"/>
            <w:shd w:val="clear" w:color="auto" w:fill="385623" w:themeFill="accent6" w:themeFillShade="80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32,62%</w:t>
            </w:r>
          </w:p>
        </w:tc>
        <w:tc>
          <w:tcPr>
            <w:tcW w:w="1842" w:type="dxa"/>
            <w:shd w:val="clear" w:color="auto" w:fill="385623" w:themeFill="accent6" w:themeFillShade="80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23,48901</w:t>
            </w:r>
          </w:p>
        </w:tc>
      </w:tr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</w:tcPr>
          <w:p w:rsidR="0055564A" w:rsidRPr="00186E53" w:rsidRDefault="0055564A" w:rsidP="00555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  <w:tc>
          <w:tcPr>
            <w:tcW w:w="2268" w:type="dxa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6,05%</w:t>
            </w:r>
          </w:p>
        </w:tc>
        <w:tc>
          <w:tcPr>
            <w:tcW w:w="1842" w:type="dxa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4,355311</w:t>
            </w:r>
          </w:p>
        </w:tc>
      </w:tr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A8D08D" w:themeFill="accent6" w:themeFillTint="99"/>
            <w:noWrap/>
            <w:vAlign w:val="bottom"/>
          </w:tcPr>
          <w:p w:rsidR="0055564A" w:rsidRPr="00186E53" w:rsidRDefault="0055564A" w:rsidP="00555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  <w:tc>
          <w:tcPr>
            <w:tcW w:w="2268" w:type="dxa"/>
            <w:shd w:val="clear" w:color="auto" w:fill="A8D08D" w:themeFill="accent6" w:themeFillTint="99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7,17%</w:t>
            </w:r>
          </w:p>
        </w:tc>
        <w:tc>
          <w:tcPr>
            <w:tcW w:w="1842" w:type="dxa"/>
            <w:shd w:val="clear" w:color="auto" w:fill="A8D08D" w:themeFill="accent6" w:themeFillTint="99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5,161172</w:t>
            </w:r>
          </w:p>
        </w:tc>
      </w:tr>
      <w:tr w:rsidR="0055564A" w:rsidRPr="00186E53" w:rsidTr="00C150A3">
        <w:trPr>
          <w:trHeight w:val="300"/>
        </w:trPr>
        <w:tc>
          <w:tcPr>
            <w:tcW w:w="1555" w:type="dxa"/>
            <w:shd w:val="clear" w:color="auto" w:fill="538135" w:themeFill="accent6" w:themeFillShade="BF"/>
            <w:noWrap/>
            <w:vAlign w:val="bottom"/>
          </w:tcPr>
          <w:p w:rsidR="0055564A" w:rsidRPr="00186E53" w:rsidRDefault="0055564A" w:rsidP="00555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ÉK</w:t>
            </w:r>
            <w:proofErr w:type="gramStart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.II.</w:t>
            </w:r>
            <w:proofErr w:type="gramEnd"/>
            <w:r w:rsidRPr="00186E53">
              <w:rPr>
                <w:rFonts w:ascii="Calibri" w:eastAsia="Times New Roman" w:hAnsi="Calibri" w:cs="Calibri"/>
                <w:color w:val="000000"/>
                <w:lang w:eastAsia="hu-HU"/>
              </w:rPr>
              <w:t>220</w:t>
            </w:r>
          </w:p>
        </w:tc>
        <w:tc>
          <w:tcPr>
            <w:tcW w:w="2268" w:type="dxa"/>
            <w:shd w:val="clear" w:color="auto" w:fill="538135" w:themeFill="accent6" w:themeFillShade="BF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30,15%</w:t>
            </w:r>
          </w:p>
        </w:tc>
        <w:tc>
          <w:tcPr>
            <w:tcW w:w="1842" w:type="dxa"/>
            <w:shd w:val="clear" w:color="auto" w:fill="538135" w:themeFill="accent6" w:themeFillShade="BF"/>
            <w:vAlign w:val="bottom"/>
          </w:tcPr>
          <w:p w:rsidR="0055564A" w:rsidRPr="0055564A" w:rsidRDefault="0055564A" w:rsidP="0055564A">
            <w:pPr>
              <w:jc w:val="center"/>
              <w:rPr>
                <w:rFonts w:ascii="Calibri" w:hAnsi="Calibri" w:cs="Calibri"/>
              </w:rPr>
            </w:pPr>
            <w:r w:rsidRPr="0055564A">
              <w:rPr>
                <w:rFonts w:ascii="Calibri" w:hAnsi="Calibri" w:cs="Calibri"/>
              </w:rPr>
              <w:t>21,70696</w:t>
            </w:r>
          </w:p>
        </w:tc>
      </w:tr>
    </w:tbl>
    <w:p w:rsidR="00186E53" w:rsidRDefault="00186E53" w:rsidP="00B202FB">
      <w:pPr>
        <w:jc w:val="both"/>
      </w:pPr>
    </w:p>
    <w:p w:rsidR="00864F6C" w:rsidRDefault="00864F6C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2EE29AC5" wp14:editId="465834B5">
            <wp:extent cx="5867400" cy="2314575"/>
            <wp:effectExtent l="0" t="0" r="0" b="9525"/>
            <wp:docPr id="50" name="Diagram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64F6C" w:rsidRDefault="00864F6C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0EAE5FC" wp14:editId="0E85D369">
            <wp:extent cx="5867400" cy="1762125"/>
            <wp:effectExtent l="0" t="0" r="0" b="9525"/>
            <wp:docPr id="51" name="Diagram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F10F2" w:rsidRDefault="008F10F2" w:rsidP="00B202FB">
      <w:pPr>
        <w:jc w:val="both"/>
      </w:pPr>
    </w:p>
    <w:p w:rsidR="008F10F2" w:rsidRPr="002E1A64" w:rsidRDefault="008F10F2" w:rsidP="00B202FB">
      <w:pPr>
        <w:jc w:val="both"/>
        <w:rPr>
          <w:b/>
        </w:rPr>
      </w:pPr>
      <w:r w:rsidRPr="002E1A64">
        <w:rPr>
          <w:b/>
        </w:rPr>
        <w:t>F épület</w:t>
      </w:r>
    </w:p>
    <w:p w:rsidR="008F10F2" w:rsidRDefault="008F10F2" w:rsidP="00B202FB">
      <w:pPr>
        <w:jc w:val="both"/>
      </w:pPr>
      <w:r>
        <w:t>Az F épületben 4 helyiségben voltak órák a vizsgált 6 félévben</w:t>
      </w:r>
      <w:r w:rsidR="002E1A64">
        <w:t xml:space="preserve"> 7,41%-</w:t>
      </w:r>
      <w:proofErr w:type="spellStart"/>
      <w:r w:rsidR="002E1A64">
        <w:t>os</w:t>
      </w:r>
      <w:proofErr w:type="spellEnd"/>
      <w:r w:rsidR="002E1A64">
        <w:t xml:space="preserve"> kihasználtsággal, 5,33 </w:t>
      </w:r>
      <w:proofErr w:type="spellStart"/>
      <w:r w:rsidR="002E1A64">
        <w:t>átalgos</w:t>
      </w:r>
      <w:proofErr w:type="spellEnd"/>
      <w:r w:rsidR="002E1A64">
        <w:t xml:space="preserve"> heti óraszámmal. Ezek közül a Kerámia emelkedik ki a maga 12,23%-</w:t>
      </w:r>
      <w:proofErr w:type="spellStart"/>
      <w:r w:rsidR="002E1A64">
        <w:t>os</w:t>
      </w:r>
      <w:proofErr w:type="spellEnd"/>
      <w:r w:rsidR="002E1A64">
        <w:t xml:space="preserve"> kihasználtságával és 8,80-as heti óraszámával.</w:t>
      </w:r>
    </w:p>
    <w:p w:rsidR="00AC49F3" w:rsidRDefault="00AC49F3" w:rsidP="00B202FB">
      <w:pPr>
        <w:jc w:val="both"/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1701"/>
      </w:tblGrid>
      <w:tr w:rsidR="002E1A64" w:rsidRPr="008F10F2" w:rsidTr="002E1A64">
        <w:trPr>
          <w:trHeight w:val="300"/>
        </w:trPr>
        <w:tc>
          <w:tcPr>
            <w:tcW w:w="1413" w:type="dxa"/>
            <w:shd w:val="clear" w:color="auto" w:fill="auto"/>
            <w:noWrap/>
            <w:vAlign w:val="center"/>
          </w:tcPr>
          <w:p w:rsidR="002E1A64" w:rsidRPr="00623D18" w:rsidRDefault="002E1A64" w:rsidP="002E1A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1984" w:type="dxa"/>
            <w:vAlign w:val="center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  <w:b/>
              </w:rPr>
            </w:pPr>
            <w:r w:rsidRPr="002E1A64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701" w:type="dxa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  <w:b/>
              </w:rPr>
            </w:pPr>
            <w:r w:rsidRPr="002E1A64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2E1A64" w:rsidRPr="008F10F2" w:rsidTr="002E1A6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E1A64" w:rsidRPr="008F10F2" w:rsidRDefault="002E1A64" w:rsidP="002E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10F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Kerámia </w:t>
            </w:r>
          </w:p>
        </w:tc>
        <w:tc>
          <w:tcPr>
            <w:tcW w:w="1984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12,23%</w:t>
            </w:r>
          </w:p>
        </w:tc>
        <w:tc>
          <w:tcPr>
            <w:tcW w:w="1701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8,807692</w:t>
            </w:r>
          </w:p>
        </w:tc>
      </w:tr>
      <w:tr w:rsidR="002E1A64" w:rsidRPr="008F10F2" w:rsidTr="002E1A6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E1A64" w:rsidRPr="008F10F2" w:rsidRDefault="002E1A64" w:rsidP="002E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10F2">
              <w:rPr>
                <w:rFonts w:ascii="Calibri" w:eastAsia="Times New Roman" w:hAnsi="Calibri" w:cs="Calibri"/>
                <w:color w:val="000000"/>
                <w:lang w:eastAsia="hu-HU"/>
              </w:rPr>
              <w:t>Kerámia műhely</w:t>
            </w:r>
          </w:p>
        </w:tc>
        <w:tc>
          <w:tcPr>
            <w:tcW w:w="1984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2,31%</w:t>
            </w:r>
          </w:p>
        </w:tc>
        <w:tc>
          <w:tcPr>
            <w:tcW w:w="1701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1,666667</w:t>
            </w:r>
          </w:p>
        </w:tc>
      </w:tr>
      <w:tr w:rsidR="002E1A64" w:rsidRPr="008F10F2" w:rsidTr="002E1A6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E1A64" w:rsidRPr="008F10F2" w:rsidRDefault="002E1A64" w:rsidP="002E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10F2">
              <w:rPr>
                <w:rFonts w:ascii="Calibri" w:eastAsia="Times New Roman" w:hAnsi="Calibri" w:cs="Calibri"/>
                <w:color w:val="000000"/>
                <w:lang w:eastAsia="hu-HU"/>
              </w:rPr>
              <w:t>Rajzterem</w:t>
            </w:r>
          </w:p>
        </w:tc>
        <w:tc>
          <w:tcPr>
            <w:tcW w:w="1984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3,70%</w:t>
            </w:r>
          </w:p>
        </w:tc>
        <w:tc>
          <w:tcPr>
            <w:tcW w:w="1701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2,666667</w:t>
            </w:r>
          </w:p>
        </w:tc>
      </w:tr>
      <w:tr w:rsidR="002E1A64" w:rsidRPr="008F10F2" w:rsidTr="002E1A6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2E1A64" w:rsidRPr="008F10F2" w:rsidRDefault="002E1A64" w:rsidP="002E1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10F2">
              <w:rPr>
                <w:rFonts w:ascii="Calibri" w:eastAsia="Times New Roman" w:hAnsi="Calibri" w:cs="Calibri"/>
                <w:color w:val="000000"/>
                <w:lang w:eastAsia="hu-HU"/>
              </w:rPr>
              <w:t>Szobrász 2</w:t>
            </w:r>
          </w:p>
        </w:tc>
        <w:tc>
          <w:tcPr>
            <w:tcW w:w="1984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5,38%</w:t>
            </w:r>
          </w:p>
        </w:tc>
        <w:tc>
          <w:tcPr>
            <w:tcW w:w="1701" w:type="dxa"/>
            <w:vAlign w:val="bottom"/>
          </w:tcPr>
          <w:p w:rsidR="002E1A64" w:rsidRPr="002E1A64" w:rsidRDefault="002E1A64" w:rsidP="002E1A64">
            <w:pPr>
              <w:jc w:val="center"/>
              <w:rPr>
                <w:rFonts w:ascii="Calibri" w:hAnsi="Calibri" w:cs="Calibri"/>
              </w:rPr>
            </w:pPr>
            <w:r w:rsidRPr="002E1A64">
              <w:rPr>
                <w:rFonts w:ascii="Calibri" w:hAnsi="Calibri" w:cs="Calibri"/>
              </w:rPr>
              <w:t>3,871795</w:t>
            </w:r>
          </w:p>
        </w:tc>
      </w:tr>
    </w:tbl>
    <w:p w:rsidR="008F10F2" w:rsidRDefault="008F10F2" w:rsidP="00B202FB">
      <w:pPr>
        <w:jc w:val="both"/>
      </w:pPr>
    </w:p>
    <w:p w:rsidR="002E1A64" w:rsidRDefault="002E1A64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3F0C14F9" wp14:editId="4D8D6647">
            <wp:extent cx="5934075" cy="2771775"/>
            <wp:effectExtent l="0" t="0" r="9525" b="9525"/>
            <wp:docPr id="53" name="Diagram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E1A64" w:rsidRDefault="002E1A64" w:rsidP="00B202FB">
      <w:pPr>
        <w:jc w:val="both"/>
      </w:pPr>
    </w:p>
    <w:p w:rsidR="002E1A64" w:rsidRDefault="002E1A64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499991E" wp14:editId="5394003E">
            <wp:extent cx="5867400" cy="1390650"/>
            <wp:effectExtent l="0" t="0" r="0" b="0"/>
            <wp:docPr id="52" name="Diagram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1C0FB8" w:rsidRDefault="001C0FB8" w:rsidP="00B202FB">
      <w:pPr>
        <w:jc w:val="both"/>
      </w:pPr>
    </w:p>
    <w:p w:rsidR="001C0FB8" w:rsidRPr="001C0FB8" w:rsidRDefault="001C0FB8" w:rsidP="00B202FB">
      <w:pPr>
        <w:jc w:val="both"/>
        <w:rPr>
          <w:b/>
        </w:rPr>
      </w:pPr>
      <w:r w:rsidRPr="001C0FB8">
        <w:rPr>
          <w:b/>
        </w:rPr>
        <w:t>Külső helyszínek</w:t>
      </w:r>
    </w:p>
    <w:p w:rsidR="001C0FB8" w:rsidRDefault="001C0FB8" w:rsidP="00B202FB">
      <w:pPr>
        <w:jc w:val="both"/>
      </w:pPr>
      <w:r>
        <w:t xml:space="preserve">Az oktatáshoz kapcsolódóan külső helyszíneken is folyik oktatás, pl. módszertani óvódákban, bölcsődékben, zeneiskolában, vagy más oktatási intézmények helyiségeiben (pl. </w:t>
      </w:r>
      <w:proofErr w:type="spellStart"/>
      <w:r>
        <w:t>Lenkey</w:t>
      </w:r>
      <w:proofErr w:type="spellEnd"/>
      <w:r>
        <w:t xml:space="preserve"> János Általános Iskolában sport foglalkozások vannak s</w:t>
      </w:r>
      <w:r w:rsidR="00A944B5">
        <w:t>aját hallgatóink számára), ez városszerte 10 oktatási egységet jelent, az alábbiak szerint. Átlag óraszámok 3,86 óra/hét, 5,36%-</w:t>
      </w:r>
      <w:proofErr w:type="spellStart"/>
      <w:r w:rsidR="00A944B5">
        <w:t>os</w:t>
      </w:r>
      <w:proofErr w:type="spellEnd"/>
      <w:r w:rsidR="00A944B5">
        <w:t xml:space="preserve"> kihasználtsággal.</w:t>
      </w:r>
    </w:p>
    <w:p w:rsidR="00823B27" w:rsidRDefault="00823B27" w:rsidP="00B202FB">
      <w:pPr>
        <w:jc w:val="both"/>
      </w:pPr>
      <w:r>
        <w:t xml:space="preserve">Ezek  közül a Módszertani Bölcsőde óraszámai adnak 5% fölötti </w:t>
      </w:r>
      <w:proofErr w:type="spellStart"/>
      <w:r>
        <w:t>kihasználtságot</w:t>
      </w:r>
      <w:proofErr w:type="spellEnd"/>
      <w:r>
        <w:t>, itt 9,94 és 12,27%-</w:t>
      </w:r>
      <w:proofErr w:type="spellStart"/>
      <w:r>
        <w:t>os</w:t>
      </w:r>
      <w:proofErr w:type="spellEnd"/>
      <w:r>
        <w:t xml:space="preserve"> a kihasználtság 7,</w:t>
      </w:r>
      <w:proofErr w:type="gramStart"/>
      <w:r>
        <w:t>15</w:t>
      </w:r>
      <w:proofErr w:type="gramEnd"/>
      <w:r>
        <w:t xml:space="preserve"> ill. 8,83 óra/hét mellett.</w:t>
      </w:r>
    </w:p>
    <w:p w:rsidR="00AC49F3" w:rsidRDefault="00AC49F3" w:rsidP="00B202FB">
      <w:pPr>
        <w:jc w:val="both"/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843"/>
      </w:tblGrid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</w:tcPr>
          <w:p w:rsidR="00A944B5" w:rsidRPr="00623D18" w:rsidRDefault="00A944B5" w:rsidP="00A94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u-HU"/>
              </w:rPr>
            </w:pPr>
            <w:r w:rsidRPr="00623D18">
              <w:rPr>
                <w:rFonts w:ascii="Calibri" w:eastAsia="Times New Roman" w:hAnsi="Calibri" w:cs="Calibri"/>
                <w:b/>
                <w:lang w:eastAsia="hu-HU"/>
              </w:rPr>
              <w:t>Helyiség</w:t>
            </w:r>
          </w:p>
        </w:tc>
        <w:tc>
          <w:tcPr>
            <w:tcW w:w="2126" w:type="dxa"/>
            <w:vAlign w:val="center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  <w:b/>
              </w:rPr>
            </w:pPr>
            <w:r w:rsidRPr="00A944B5">
              <w:rPr>
                <w:rFonts w:ascii="Calibri" w:hAnsi="Calibri" w:cs="Calibri"/>
                <w:b/>
              </w:rPr>
              <w:t>Átlag kihasználtság</w:t>
            </w:r>
          </w:p>
        </w:tc>
        <w:tc>
          <w:tcPr>
            <w:tcW w:w="1843" w:type="dxa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  <w:b/>
              </w:rPr>
            </w:pPr>
            <w:r w:rsidRPr="00A944B5">
              <w:rPr>
                <w:rFonts w:ascii="Calibri" w:hAnsi="Calibri" w:cs="Calibri"/>
                <w:b/>
              </w:rPr>
              <w:t>Átlag óraszám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A944B5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ÉRSEKUDVAR</w:t>
            </w:r>
            <w:proofErr w:type="gramStart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.1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0,46%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0,333333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A944B5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KAL</w:t>
            </w:r>
            <w:proofErr w:type="gramStart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.FSZ</w:t>
            </w:r>
            <w:proofErr w:type="gramEnd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Tan.1.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2,31%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1,666667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A944B5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Emeleti Tornaterem (E</w:t>
            </w:r>
            <w:proofErr w:type="gramStart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.LENK-EM</w:t>
            </w:r>
            <w:proofErr w:type="gramEnd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1,39%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1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DE421D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Módszertani Bölcső</w:t>
            </w:r>
            <w:r w:rsidR="00A944B5"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de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12,27%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8,833333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A944B5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Módszertani </w:t>
            </w:r>
            <w:proofErr w:type="spellStart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Bölcsi</w:t>
            </w:r>
            <w:proofErr w:type="spellEnd"/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terme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9,94%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7,153846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A944B5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TISZK-1                 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3,98%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2,864469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A944B5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TISZK-2                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0,27%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0,197802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DE421D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Zene</w:t>
            </w:r>
            <w:r w:rsidR="00A944B5"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iskola </w:t>
            </w:r>
            <w:proofErr w:type="gramStart"/>
            <w:r w:rsidR="00A944B5"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terme(</w:t>
            </w:r>
            <w:proofErr w:type="gramEnd"/>
            <w:r w:rsidR="00A944B5"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i)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2,08%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1,5</w:t>
            </w:r>
          </w:p>
        </w:tc>
      </w:tr>
      <w:tr w:rsidR="00A944B5" w:rsidRPr="00A944B5" w:rsidTr="00DE421D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944B5" w:rsidRPr="00A944B5" w:rsidRDefault="00DE421D" w:rsidP="00A9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Zene</w:t>
            </w:r>
            <w:r w:rsidR="00A944B5" w:rsidRPr="00A944B5">
              <w:rPr>
                <w:rFonts w:ascii="Calibri" w:eastAsia="Times New Roman" w:hAnsi="Calibri" w:cs="Calibri"/>
                <w:color w:val="000000"/>
                <w:lang w:eastAsia="hu-HU"/>
              </w:rPr>
              <w:t>iskola</w:t>
            </w:r>
          </w:p>
        </w:tc>
        <w:tc>
          <w:tcPr>
            <w:tcW w:w="2126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3,47%</w:t>
            </w:r>
          </w:p>
        </w:tc>
        <w:tc>
          <w:tcPr>
            <w:tcW w:w="1843" w:type="dxa"/>
            <w:vAlign w:val="bottom"/>
          </w:tcPr>
          <w:p w:rsidR="00A944B5" w:rsidRPr="00A944B5" w:rsidRDefault="00A944B5" w:rsidP="00A944B5">
            <w:pPr>
              <w:jc w:val="center"/>
              <w:rPr>
                <w:rFonts w:ascii="Calibri" w:hAnsi="Calibri" w:cs="Calibri"/>
              </w:rPr>
            </w:pPr>
            <w:r w:rsidRPr="00A944B5">
              <w:rPr>
                <w:rFonts w:ascii="Calibri" w:hAnsi="Calibri" w:cs="Calibri"/>
              </w:rPr>
              <w:t>2,5</w:t>
            </w:r>
          </w:p>
        </w:tc>
      </w:tr>
    </w:tbl>
    <w:p w:rsidR="00A944B5" w:rsidRDefault="00A944B5" w:rsidP="00B202FB">
      <w:pPr>
        <w:jc w:val="both"/>
      </w:pPr>
    </w:p>
    <w:p w:rsidR="001C0FB8" w:rsidRDefault="00543823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6FDA3D63" wp14:editId="2271EA44">
            <wp:extent cx="5857875" cy="2895600"/>
            <wp:effectExtent l="0" t="0" r="9525" b="0"/>
            <wp:docPr id="55" name="Diagram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43823" w:rsidRDefault="00543823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0734EA61" wp14:editId="14103D25">
            <wp:extent cx="5876925" cy="1495425"/>
            <wp:effectExtent l="0" t="0" r="9525" b="9525"/>
            <wp:docPr id="56" name="Diagram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D3E1D" w:rsidRDefault="004D3E1D" w:rsidP="00B202FB">
      <w:pPr>
        <w:jc w:val="both"/>
      </w:pPr>
    </w:p>
    <w:p w:rsidR="004D3E1D" w:rsidRDefault="004D3E1D" w:rsidP="00B202FB">
      <w:pPr>
        <w:jc w:val="both"/>
      </w:pPr>
      <w:r>
        <w:t>Az oktatásba bevont helyiségek épületenként, összesítve az alábbi diag</w:t>
      </w:r>
      <w:r w:rsidR="008911FE">
        <w:t>rammon láthatóak. Itt az átlagértékek figyelembevételével állíthatunk sorrendet: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Egyéb helyiségek/épület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 xml:space="preserve">Átlag kihasználtság 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Átlag óraszám/hét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A épület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12,41%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8,94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Érsekkert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11,83%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8,52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E épület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10,29%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7,41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B épület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9,96%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7,17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D épület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9,42%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6,79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F épület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7,41%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5,34</w:t>
            </w:r>
          </w:p>
        </w:tc>
      </w:tr>
      <w:tr w:rsidR="008911FE" w:rsidTr="008911FE"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Külső helyszín</w:t>
            </w:r>
          </w:p>
        </w:tc>
        <w:tc>
          <w:tcPr>
            <w:tcW w:w="2265" w:type="dxa"/>
          </w:tcPr>
          <w:p w:rsidR="008911FE" w:rsidRDefault="008911FE" w:rsidP="00B202FB">
            <w:pPr>
              <w:jc w:val="both"/>
            </w:pPr>
            <w:r>
              <w:t>5,36</w:t>
            </w:r>
            <w:r w:rsidR="005A6C14">
              <w:t>%</w:t>
            </w:r>
          </w:p>
        </w:tc>
        <w:tc>
          <w:tcPr>
            <w:tcW w:w="2266" w:type="dxa"/>
          </w:tcPr>
          <w:p w:rsidR="008911FE" w:rsidRDefault="008911FE" w:rsidP="00B202FB">
            <w:pPr>
              <w:jc w:val="both"/>
            </w:pPr>
            <w:r>
              <w:t>3,86</w:t>
            </w:r>
          </w:p>
        </w:tc>
      </w:tr>
      <w:tr w:rsidR="008911FE" w:rsidTr="008911FE">
        <w:tc>
          <w:tcPr>
            <w:tcW w:w="2265" w:type="dxa"/>
          </w:tcPr>
          <w:p w:rsidR="008911FE" w:rsidRDefault="005A6C14" w:rsidP="00B202FB">
            <w:pPr>
              <w:jc w:val="both"/>
            </w:pPr>
            <w:r>
              <w:t>C épület</w:t>
            </w:r>
          </w:p>
        </w:tc>
        <w:tc>
          <w:tcPr>
            <w:tcW w:w="2265" w:type="dxa"/>
          </w:tcPr>
          <w:p w:rsidR="008911FE" w:rsidRDefault="005A6C14" w:rsidP="00B202FB">
            <w:pPr>
              <w:jc w:val="both"/>
            </w:pPr>
            <w:r>
              <w:t>3,47%</w:t>
            </w:r>
          </w:p>
        </w:tc>
        <w:tc>
          <w:tcPr>
            <w:tcW w:w="2266" w:type="dxa"/>
          </w:tcPr>
          <w:p w:rsidR="008911FE" w:rsidRDefault="005A6C14" w:rsidP="00B202FB">
            <w:pPr>
              <w:jc w:val="both"/>
            </w:pPr>
            <w:r>
              <w:t>2,50</w:t>
            </w:r>
          </w:p>
        </w:tc>
      </w:tr>
      <w:tr w:rsidR="005A6C14" w:rsidTr="008911FE">
        <w:tc>
          <w:tcPr>
            <w:tcW w:w="2265" w:type="dxa"/>
          </w:tcPr>
          <w:p w:rsidR="005A6C14" w:rsidRDefault="005A6C14" w:rsidP="00B202FB">
            <w:pPr>
              <w:jc w:val="both"/>
            </w:pPr>
            <w:r>
              <w:t>Bartók tér</w:t>
            </w:r>
          </w:p>
        </w:tc>
        <w:tc>
          <w:tcPr>
            <w:tcW w:w="2265" w:type="dxa"/>
          </w:tcPr>
          <w:p w:rsidR="005A6C14" w:rsidRDefault="005A6C14" w:rsidP="00B202FB">
            <w:pPr>
              <w:jc w:val="both"/>
            </w:pPr>
            <w:r>
              <w:t>1,78%</w:t>
            </w:r>
          </w:p>
        </w:tc>
        <w:tc>
          <w:tcPr>
            <w:tcW w:w="2266" w:type="dxa"/>
          </w:tcPr>
          <w:p w:rsidR="005A6C14" w:rsidRDefault="005A6C14" w:rsidP="00B202FB">
            <w:pPr>
              <w:jc w:val="both"/>
            </w:pPr>
            <w:r>
              <w:t>1,28</w:t>
            </w:r>
          </w:p>
        </w:tc>
      </w:tr>
    </w:tbl>
    <w:p w:rsidR="008911FE" w:rsidRDefault="008911FE" w:rsidP="00B202FB">
      <w:pPr>
        <w:jc w:val="both"/>
      </w:pPr>
    </w:p>
    <w:p w:rsidR="004D3E1D" w:rsidRDefault="004D3E1D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4E0666DE" wp14:editId="66A535DA">
            <wp:extent cx="5924550" cy="3409950"/>
            <wp:effectExtent l="0" t="0" r="0" b="0"/>
            <wp:docPr id="57" name="Diagram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8911FE" w:rsidRDefault="008911FE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6B0FD8EA" wp14:editId="5A01785A">
            <wp:extent cx="5915025" cy="2743200"/>
            <wp:effectExtent l="0" t="0" r="9525" b="0"/>
            <wp:docPr id="58" name="Diagram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526AA" w:rsidRDefault="008526AA" w:rsidP="00B202FB">
      <w:pPr>
        <w:jc w:val="both"/>
      </w:pPr>
    </w:p>
    <w:p w:rsidR="008526AA" w:rsidRDefault="008526AA" w:rsidP="00E75E62">
      <w:pPr>
        <w:pStyle w:val="Cmsor3"/>
      </w:pPr>
      <w:bookmarkStart w:id="13" w:name="_Toc515454136"/>
      <w:r w:rsidRPr="00AF655E">
        <w:t>Sárospatak</w:t>
      </w:r>
      <w:r w:rsidR="0054062E">
        <w:t xml:space="preserve">i </w:t>
      </w:r>
      <w:r w:rsidR="00AB3792">
        <w:t>Campus</w:t>
      </w:r>
      <w:bookmarkEnd w:id="13"/>
    </w:p>
    <w:p w:rsidR="00E75E62" w:rsidRPr="00E75E62" w:rsidRDefault="00E75E62" w:rsidP="00E75E62"/>
    <w:p w:rsidR="008F2F33" w:rsidRDefault="00AF655E" w:rsidP="00B202FB">
      <w:pPr>
        <w:jc w:val="both"/>
      </w:pPr>
      <w:r>
        <w:t>A Sárospataki Comenius Karon 9 olyan helyiség található, mely az oktatást kiegészítő egyéb helyiségeket tartalmaz</w:t>
      </w:r>
      <w:r w:rsidR="008F2F33">
        <w:t>, 9,58%-</w:t>
      </w:r>
      <w:proofErr w:type="spellStart"/>
      <w:r w:rsidR="008F2F33">
        <w:t>os</w:t>
      </w:r>
      <w:proofErr w:type="spellEnd"/>
      <w:r w:rsidR="008F2F33">
        <w:t xml:space="preserve"> átlag kihasználtsággal, 6,90 óra/hét átlagóraszámmal</w:t>
      </w:r>
      <w:r>
        <w:t xml:space="preserve">. </w:t>
      </w:r>
    </w:p>
    <w:p w:rsidR="00AF655E" w:rsidRDefault="00AF655E" w:rsidP="00B202FB">
      <w:pPr>
        <w:jc w:val="both"/>
      </w:pPr>
      <w:r>
        <w:t>Ezek közül 5 db 5%-</w:t>
      </w:r>
      <w:proofErr w:type="spellStart"/>
      <w:r>
        <w:t>os</w:t>
      </w:r>
      <w:proofErr w:type="spellEnd"/>
      <w:r>
        <w:t xml:space="preserve"> kihasználtság alatti helyiség, itt az átlag kihasználtság: 2,56%, átlag óraszám: 1,73 óra/hét.  4 db 5% feletti kihasználtságú – átlag kihasználtság 11,82%, óraszám 8,51 óra/hét. </w:t>
      </w:r>
    </w:p>
    <w:tbl>
      <w:tblPr>
        <w:tblW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2106"/>
        <w:gridCol w:w="2106"/>
      </w:tblGrid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</w:tcPr>
          <w:p w:rsidR="00AF655E" w:rsidRDefault="00AF655E" w:rsidP="00AF655E">
            <w:pPr>
              <w:jc w:val="both"/>
            </w:pPr>
            <w:r>
              <w:t>Helyiség</w:t>
            </w:r>
          </w:p>
        </w:tc>
        <w:tc>
          <w:tcPr>
            <w:tcW w:w="2106" w:type="dxa"/>
          </w:tcPr>
          <w:p w:rsidR="00AF655E" w:rsidRPr="00AF655E" w:rsidRDefault="00AF655E" w:rsidP="00AF655E">
            <w:pPr>
              <w:jc w:val="center"/>
            </w:pPr>
            <w:r w:rsidRPr="00AF655E">
              <w:t>Átlag kihasználtság</w:t>
            </w:r>
          </w:p>
        </w:tc>
        <w:tc>
          <w:tcPr>
            <w:tcW w:w="2106" w:type="dxa"/>
          </w:tcPr>
          <w:p w:rsidR="00AF655E" w:rsidRPr="00AF655E" w:rsidRDefault="00AF655E" w:rsidP="00AF655E">
            <w:pPr>
              <w:jc w:val="center"/>
            </w:pPr>
            <w:r w:rsidRPr="00AF655E">
              <w:t>Átlag óraszám/hét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.CK_31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1,07%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0,77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.CK_56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9637E8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3,17%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9637E8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2,28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.CK_64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9637E8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4,26%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9637E8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3,06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.CK_Táncterem</w:t>
            </w:r>
            <w:proofErr w:type="spellEnd"/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3,43%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2,47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E.S.CK_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Uszoda</w:t>
            </w:r>
            <w:proofErr w:type="spellEnd"/>
            <w:proofErr w:type="gramEnd"/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0,87%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0,07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.CK_48-49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5,55%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4,00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.CK_Carolina</w:t>
            </w:r>
            <w:proofErr w:type="spell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Óvoda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10,12%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7,29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.CK_Furmint_Hotel</w:t>
            </w:r>
            <w:proofErr w:type="spellEnd"/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16,51%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11,88</w:t>
            </w:r>
          </w:p>
        </w:tc>
      </w:tr>
      <w:tr w:rsidR="00AF655E" w:rsidRPr="008526AA" w:rsidTr="009637E8">
        <w:trPr>
          <w:trHeight w:val="300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AF655E" w:rsidRPr="008526AA" w:rsidRDefault="00AF655E" w:rsidP="00AF65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proofErr w:type="gramStart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.S</w:t>
            </w:r>
            <w:proofErr w:type="gramEnd"/>
            <w:r w:rsidRPr="008526AA">
              <w:rPr>
                <w:rFonts w:ascii="Calibri" w:eastAsia="Times New Roman" w:hAnsi="Calibri" w:cs="Calibri"/>
                <w:color w:val="000000"/>
                <w:lang w:eastAsia="hu-HU"/>
              </w:rPr>
              <w:t>.CK_II. Rákóczi Ferenc Általános Iskola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15,10%</w:t>
            </w:r>
          </w:p>
        </w:tc>
        <w:tc>
          <w:tcPr>
            <w:tcW w:w="2106" w:type="dxa"/>
            <w:vAlign w:val="bottom"/>
          </w:tcPr>
          <w:p w:rsidR="00AF655E" w:rsidRPr="00AF655E" w:rsidRDefault="00AF655E" w:rsidP="00AF655E">
            <w:pPr>
              <w:jc w:val="center"/>
              <w:rPr>
                <w:rFonts w:ascii="Calibri" w:hAnsi="Calibri" w:cs="Calibri"/>
              </w:rPr>
            </w:pPr>
            <w:r w:rsidRPr="00AF655E">
              <w:rPr>
                <w:rFonts w:ascii="Calibri" w:hAnsi="Calibri" w:cs="Calibri"/>
              </w:rPr>
              <w:t>10,88</w:t>
            </w:r>
          </w:p>
        </w:tc>
      </w:tr>
    </w:tbl>
    <w:p w:rsidR="008526AA" w:rsidRDefault="008526AA" w:rsidP="00B202FB">
      <w:pPr>
        <w:jc w:val="both"/>
      </w:pPr>
    </w:p>
    <w:p w:rsidR="00A401F4" w:rsidRDefault="00A401F4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0572EB8B" wp14:editId="24C2D49E">
            <wp:extent cx="5962650" cy="2895600"/>
            <wp:effectExtent l="0" t="0" r="0" b="0"/>
            <wp:docPr id="59" name="Diagram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A401F4" w:rsidRDefault="00A401F4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61636FD0" wp14:editId="3EC5642A">
            <wp:extent cx="5895975" cy="1857375"/>
            <wp:effectExtent l="0" t="0" r="9525" b="9525"/>
            <wp:docPr id="60" name="Diagram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F2F33" w:rsidRDefault="008F2F33" w:rsidP="00B202FB">
      <w:pPr>
        <w:jc w:val="both"/>
      </w:pPr>
    </w:p>
    <w:p w:rsidR="008F2F33" w:rsidRDefault="008F2F33" w:rsidP="00E75E62">
      <w:pPr>
        <w:pStyle w:val="Cmsor3"/>
      </w:pPr>
      <w:bookmarkStart w:id="14" w:name="_Toc515454137"/>
      <w:r w:rsidRPr="00C61AC6">
        <w:t>Gyöngyös</w:t>
      </w:r>
      <w:r w:rsidR="0054062E">
        <w:t xml:space="preserve">i </w:t>
      </w:r>
      <w:r w:rsidR="00AB3792">
        <w:t>Campus</w:t>
      </w:r>
      <w:bookmarkEnd w:id="14"/>
    </w:p>
    <w:p w:rsidR="00E75E62" w:rsidRPr="00E75E62" w:rsidRDefault="00E75E62" w:rsidP="00E75E62"/>
    <w:p w:rsidR="00173267" w:rsidRDefault="00173267" w:rsidP="00B202FB">
      <w:pPr>
        <w:jc w:val="both"/>
      </w:pPr>
      <w:r>
        <w:lastRenderedPageBreak/>
        <w:t xml:space="preserve">A Gyöngyösi </w:t>
      </w:r>
      <w:r w:rsidR="00AB3792">
        <w:t>Campus</w:t>
      </w:r>
      <w:r>
        <w:t xml:space="preserve">on 9 helyiség lett bevonva az oktatásba, a vizsgált 4 félév során, ezek átlag kihasználtsága </w:t>
      </w:r>
      <w:r w:rsidR="008276AC">
        <w:t>7,15</w:t>
      </w:r>
      <w:r>
        <w:t xml:space="preserve">%, </w:t>
      </w:r>
      <w:r w:rsidR="008276AC">
        <w:t>átlag óraszáma 5,15</w:t>
      </w:r>
      <w:r>
        <w:t xml:space="preserve"> óra/hét.</w:t>
      </w:r>
      <w:r w:rsidR="008276AC">
        <w:t xml:space="preserve"> Ezek közül 6 helyiség nem éri el az 5%-</w:t>
      </w:r>
      <w:proofErr w:type="spellStart"/>
      <w:r w:rsidR="008276AC">
        <w:t>os</w:t>
      </w:r>
      <w:proofErr w:type="spellEnd"/>
      <w:r w:rsidR="008276AC">
        <w:t xml:space="preserve"> </w:t>
      </w:r>
      <w:proofErr w:type="spellStart"/>
      <w:r w:rsidR="008276AC">
        <w:t>kihasználtságot</w:t>
      </w:r>
      <w:proofErr w:type="spellEnd"/>
      <w:r w:rsidR="008276AC">
        <w:t>, itt azátlagok: 2,67%-</w:t>
      </w:r>
      <w:proofErr w:type="spellStart"/>
      <w:r w:rsidR="008276AC">
        <w:t>os</w:t>
      </w:r>
      <w:proofErr w:type="spellEnd"/>
      <w:r w:rsidR="008276AC">
        <w:t xml:space="preserve"> kihasználtság, 1,92 óraszám/hét. 3 db helyiség 5% fölötti </w:t>
      </w:r>
      <w:proofErr w:type="gramStart"/>
      <w:r w:rsidR="008276AC">
        <w:t>kihasználtságú ,ezek</w:t>
      </w:r>
      <w:proofErr w:type="gramEnd"/>
      <w:r w:rsidR="008276AC">
        <w:t xml:space="preserve"> átlagai: kihasználtság 10,56%, 7,60 óra/hét.</w:t>
      </w:r>
    </w:p>
    <w:p w:rsidR="008276AC" w:rsidRDefault="008276AC" w:rsidP="00B202FB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</w:tcPr>
          <w:p w:rsidR="00173267" w:rsidRDefault="00173267" w:rsidP="00173267">
            <w:pPr>
              <w:jc w:val="both"/>
            </w:pPr>
            <w:r>
              <w:t>Helyiség</w:t>
            </w:r>
          </w:p>
        </w:tc>
        <w:tc>
          <w:tcPr>
            <w:tcW w:w="2218" w:type="dxa"/>
          </w:tcPr>
          <w:p w:rsidR="00173267" w:rsidRPr="00173267" w:rsidRDefault="00173267" w:rsidP="00173267">
            <w:pPr>
              <w:jc w:val="center"/>
            </w:pPr>
            <w:r w:rsidRPr="00173267">
              <w:t>Átlag kihasználtság</w:t>
            </w:r>
          </w:p>
        </w:tc>
        <w:tc>
          <w:tcPr>
            <w:tcW w:w="3021" w:type="dxa"/>
          </w:tcPr>
          <w:p w:rsidR="00173267" w:rsidRPr="00173267" w:rsidRDefault="00173267" w:rsidP="00173267">
            <w:pPr>
              <w:jc w:val="center"/>
            </w:pPr>
            <w:r w:rsidRPr="00173267">
              <w:t>Átlag óraszám/hét</w:t>
            </w:r>
          </w:p>
        </w:tc>
      </w:tr>
      <w:tr w:rsidR="008F2F33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F2F33" w:rsidRPr="008F2F33" w:rsidRDefault="008F2F33" w:rsidP="008F2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T. előadó (A ép.) (300 fő)</w:t>
            </w:r>
          </w:p>
        </w:tc>
        <w:tc>
          <w:tcPr>
            <w:tcW w:w="2218" w:type="dxa"/>
            <w:vAlign w:val="bottom"/>
          </w:tcPr>
          <w:p w:rsidR="008F2F33" w:rsidRPr="00173267" w:rsidRDefault="008F2F33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2,70%</w:t>
            </w:r>
          </w:p>
        </w:tc>
        <w:tc>
          <w:tcPr>
            <w:tcW w:w="3021" w:type="dxa"/>
            <w:vAlign w:val="bottom"/>
          </w:tcPr>
          <w:p w:rsidR="008F2F33" w:rsidRPr="00173267" w:rsidRDefault="008F2F33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1,94</w:t>
            </w:r>
          </w:p>
        </w:tc>
      </w:tr>
      <w:tr w:rsidR="008F2F33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F2F33" w:rsidRPr="008F2F33" w:rsidRDefault="008F2F33" w:rsidP="008F2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2.215. szeminárium Látványtőzsde(14 </w:t>
            </w:r>
            <w:proofErr w:type="spell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szg</w:t>
            </w:r>
            <w:proofErr w:type="spellEnd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+6 fő) (G.</w:t>
            </w:r>
            <w:proofErr w:type="gram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.II.2.215)</w:t>
            </w:r>
          </w:p>
        </w:tc>
        <w:tc>
          <w:tcPr>
            <w:tcW w:w="2218" w:type="dxa"/>
            <w:vAlign w:val="bottom"/>
          </w:tcPr>
          <w:p w:rsidR="008F2F33" w:rsidRPr="00173267" w:rsidRDefault="008F2F33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0,69%</w:t>
            </w:r>
          </w:p>
        </w:tc>
        <w:tc>
          <w:tcPr>
            <w:tcW w:w="3021" w:type="dxa"/>
            <w:vAlign w:val="bottom"/>
          </w:tcPr>
          <w:p w:rsidR="008F2F33" w:rsidRPr="00173267" w:rsidRDefault="008F2F33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0,50</w:t>
            </w:r>
          </w:p>
        </w:tc>
      </w:tr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173267" w:rsidRPr="008F2F33" w:rsidRDefault="00173267" w:rsidP="0017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AVK tárgyaló 5. emelet</w:t>
            </w:r>
          </w:p>
        </w:tc>
        <w:tc>
          <w:tcPr>
            <w:tcW w:w="2218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4,96%</w:t>
            </w:r>
          </w:p>
        </w:tc>
        <w:tc>
          <w:tcPr>
            <w:tcW w:w="3021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3,57</w:t>
            </w:r>
          </w:p>
        </w:tc>
      </w:tr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173267" w:rsidRPr="008F2F33" w:rsidRDefault="00173267" w:rsidP="0017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Sportcentrum (Bene út) (G</w:t>
            </w:r>
            <w:proofErr w:type="gram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.T-123</w:t>
            </w:r>
            <w:proofErr w:type="gramEnd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218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2,78%</w:t>
            </w:r>
          </w:p>
        </w:tc>
        <w:tc>
          <w:tcPr>
            <w:tcW w:w="3021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2,00</w:t>
            </w:r>
          </w:p>
        </w:tc>
      </w:tr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173267" w:rsidRPr="008F2F33" w:rsidRDefault="00173267" w:rsidP="0017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Környezettud</w:t>
            </w:r>
            <w:proofErr w:type="spellEnd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Int - Könyvtár</w:t>
            </w:r>
          </w:p>
        </w:tc>
        <w:tc>
          <w:tcPr>
            <w:tcW w:w="2218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2,83%</w:t>
            </w:r>
          </w:p>
        </w:tc>
        <w:tc>
          <w:tcPr>
            <w:tcW w:w="3021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2,04</w:t>
            </w:r>
          </w:p>
        </w:tc>
      </w:tr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173267" w:rsidRPr="008F2F33" w:rsidRDefault="00173267" w:rsidP="0017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Logisztika Előadó (L ép.) (130 fő)</w:t>
            </w:r>
          </w:p>
        </w:tc>
        <w:tc>
          <w:tcPr>
            <w:tcW w:w="2218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2,08%</w:t>
            </w:r>
          </w:p>
        </w:tc>
        <w:tc>
          <w:tcPr>
            <w:tcW w:w="3021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1,50</w:t>
            </w:r>
          </w:p>
        </w:tc>
      </w:tr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173267" w:rsidRPr="008F2F33" w:rsidRDefault="00173267" w:rsidP="0017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Tanszéki Könyvtár (Közgazdasági) (</w:t>
            </w:r>
            <w:proofErr w:type="spell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.ép</w:t>
            </w:r>
            <w:proofErr w:type="spellEnd"/>
            <w:proofErr w:type="gramEnd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) 3. emelet</w:t>
            </w:r>
          </w:p>
        </w:tc>
        <w:tc>
          <w:tcPr>
            <w:tcW w:w="2218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16,86%</w:t>
            </w:r>
          </w:p>
        </w:tc>
        <w:tc>
          <w:tcPr>
            <w:tcW w:w="3021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12,14</w:t>
            </w:r>
          </w:p>
        </w:tc>
      </w:tr>
      <w:tr w:rsidR="00173267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173267" w:rsidRPr="008F2F33" w:rsidRDefault="00173267" w:rsidP="00173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Aula (Tass, L ép.)</w:t>
            </w:r>
          </w:p>
        </w:tc>
        <w:tc>
          <w:tcPr>
            <w:tcW w:w="2218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5,80%</w:t>
            </w:r>
          </w:p>
        </w:tc>
        <w:tc>
          <w:tcPr>
            <w:tcW w:w="3021" w:type="dxa"/>
            <w:vAlign w:val="bottom"/>
          </w:tcPr>
          <w:p w:rsidR="00173267" w:rsidRPr="00173267" w:rsidRDefault="00173267" w:rsidP="00173267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4,17</w:t>
            </w:r>
          </w:p>
        </w:tc>
      </w:tr>
      <w:tr w:rsidR="008276AC" w:rsidRPr="008F2F33" w:rsidTr="008276AC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276AC" w:rsidRPr="008F2F33" w:rsidRDefault="008276AC" w:rsidP="00963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Tanszéki Könyvtár (Marketing) (</w:t>
            </w:r>
            <w:proofErr w:type="spell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Start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.ép</w:t>
            </w:r>
            <w:proofErr w:type="spellEnd"/>
            <w:proofErr w:type="gramEnd"/>
            <w:r w:rsidRPr="008F2F33">
              <w:rPr>
                <w:rFonts w:ascii="Calibri" w:eastAsia="Times New Roman" w:hAnsi="Calibri" w:cs="Calibri"/>
                <w:color w:val="000000"/>
                <w:lang w:eastAsia="hu-HU"/>
              </w:rPr>
              <w:t>) 2. emelet</w:t>
            </w:r>
          </w:p>
        </w:tc>
        <w:tc>
          <w:tcPr>
            <w:tcW w:w="2218" w:type="dxa"/>
            <w:vAlign w:val="bottom"/>
          </w:tcPr>
          <w:p w:rsidR="008276AC" w:rsidRPr="00173267" w:rsidRDefault="008276AC" w:rsidP="009637E8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9,03%</w:t>
            </w:r>
          </w:p>
        </w:tc>
        <w:tc>
          <w:tcPr>
            <w:tcW w:w="3021" w:type="dxa"/>
            <w:vAlign w:val="bottom"/>
          </w:tcPr>
          <w:p w:rsidR="008276AC" w:rsidRPr="00173267" w:rsidRDefault="008276AC" w:rsidP="009637E8">
            <w:pPr>
              <w:jc w:val="center"/>
              <w:rPr>
                <w:rFonts w:ascii="Calibri" w:hAnsi="Calibri" w:cs="Calibri"/>
              </w:rPr>
            </w:pPr>
            <w:r w:rsidRPr="00173267">
              <w:rPr>
                <w:rFonts w:ascii="Calibri" w:hAnsi="Calibri" w:cs="Calibri"/>
              </w:rPr>
              <w:t>6,50</w:t>
            </w:r>
          </w:p>
        </w:tc>
      </w:tr>
    </w:tbl>
    <w:p w:rsidR="008F2F33" w:rsidRDefault="008F2F33" w:rsidP="00B202FB">
      <w:pPr>
        <w:jc w:val="both"/>
      </w:pPr>
    </w:p>
    <w:p w:rsidR="008276AC" w:rsidRDefault="008276AC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35A084C9" wp14:editId="6A12F194">
            <wp:extent cx="5962650" cy="2981325"/>
            <wp:effectExtent l="0" t="0" r="0" b="9525"/>
            <wp:docPr id="61" name="Diagram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97FD6" w:rsidRDefault="00997FD6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73CA9D71" wp14:editId="3F0700B8">
            <wp:extent cx="5924550" cy="1685925"/>
            <wp:effectExtent l="0" t="0" r="0" b="9525"/>
            <wp:docPr id="62" name="Diagram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C61AC6" w:rsidRDefault="00C61AC6" w:rsidP="00B202FB">
      <w:pPr>
        <w:jc w:val="both"/>
      </w:pPr>
    </w:p>
    <w:p w:rsidR="00C61AC6" w:rsidRDefault="00C61AC6" w:rsidP="00E75E62">
      <w:pPr>
        <w:pStyle w:val="Cmsor3"/>
      </w:pPr>
      <w:bookmarkStart w:id="15" w:name="_Toc515454138"/>
      <w:r w:rsidRPr="00C61AC6">
        <w:t>Jászberény</w:t>
      </w:r>
      <w:r w:rsidR="0054062E">
        <w:t xml:space="preserve">i </w:t>
      </w:r>
      <w:r w:rsidR="00AB3792">
        <w:t>Campus</w:t>
      </w:r>
      <w:bookmarkEnd w:id="15"/>
    </w:p>
    <w:p w:rsidR="00E75E62" w:rsidRPr="00E75E62" w:rsidRDefault="00E75E62" w:rsidP="00E75E62"/>
    <w:p w:rsidR="00C61AC6" w:rsidRDefault="00C61AC6" w:rsidP="00B202FB">
      <w:pPr>
        <w:jc w:val="both"/>
      </w:pPr>
      <w:r>
        <w:t xml:space="preserve">A Jászberényi </w:t>
      </w:r>
      <w:r w:rsidR="00AB3792">
        <w:t>Campus</w:t>
      </w:r>
      <w:r>
        <w:t>on 15 olyan helyiség található, melyek kisegítik az tantermeket, ezek 4 félév alatt vizsgált átlag kihasználtsága 5,25%, átlag óraszáma 3,77 óra/hét.</w:t>
      </w:r>
    </w:p>
    <w:p w:rsidR="00C61AC6" w:rsidRDefault="00C61AC6" w:rsidP="00B202FB">
      <w:pPr>
        <w:jc w:val="both"/>
      </w:pPr>
      <w:r>
        <w:t>A 15 helyiségből 10 db 5% alatti kihasználtságú, ezek átlagai: 1,01% kihasználtság, 0,72 óra/hét.</w:t>
      </w:r>
    </w:p>
    <w:p w:rsidR="00C61AC6" w:rsidRDefault="00C61AC6" w:rsidP="00B202FB">
      <w:pPr>
        <w:jc w:val="both"/>
      </w:pPr>
      <w:r>
        <w:t>5 db 5% feletti: 10,29% kihasználtság, 7,40 óra/hét.</w:t>
      </w:r>
    </w:p>
    <w:p w:rsidR="00C61AC6" w:rsidRPr="00C61AC6" w:rsidRDefault="00C61AC6" w:rsidP="00B202FB">
      <w:pPr>
        <w:jc w:val="both"/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985"/>
      </w:tblGrid>
      <w:tr w:rsidR="00C61AC6" w:rsidRPr="00C61AC6" w:rsidTr="009637E8">
        <w:trPr>
          <w:trHeight w:val="300"/>
        </w:trPr>
        <w:tc>
          <w:tcPr>
            <w:tcW w:w="2830" w:type="dxa"/>
            <w:shd w:val="clear" w:color="auto" w:fill="auto"/>
            <w:noWrap/>
          </w:tcPr>
          <w:p w:rsidR="00C61AC6" w:rsidRDefault="00C61AC6" w:rsidP="00C61AC6">
            <w:pPr>
              <w:jc w:val="both"/>
            </w:pPr>
            <w:r>
              <w:t>Helyiség</w:t>
            </w:r>
          </w:p>
        </w:tc>
        <w:tc>
          <w:tcPr>
            <w:tcW w:w="1843" w:type="dxa"/>
          </w:tcPr>
          <w:p w:rsidR="00C61AC6" w:rsidRPr="00173267" w:rsidRDefault="00C61AC6" w:rsidP="00C61AC6">
            <w:pPr>
              <w:jc w:val="center"/>
            </w:pPr>
            <w:r w:rsidRPr="00173267">
              <w:t>Átlag kihasználtság</w:t>
            </w:r>
          </w:p>
        </w:tc>
        <w:tc>
          <w:tcPr>
            <w:tcW w:w="1985" w:type="dxa"/>
          </w:tcPr>
          <w:p w:rsidR="00C61AC6" w:rsidRPr="00173267" w:rsidRDefault="00C61AC6" w:rsidP="00C61AC6">
            <w:pPr>
              <w:jc w:val="center"/>
            </w:pPr>
            <w:r w:rsidRPr="00173267">
              <w:t>Átlag óraszám/hét</w:t>
            </w:r>
          </w:p>
        </w:tc>
      </w:tr>
      <w:tr w:rsidR="00C61AC6" w:rsidRPr="00C61AC6" w:rsidTr="009637E8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JT_038 Forrásközpont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0,30%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0,214286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JT_118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0,25%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0,178571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JT_124 Apponyi terem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1,30%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0,938187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JT_230 (J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_230)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2,43%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1,75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_fazekasműhely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0,27%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0,192308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_Fürkész</w:t>
            </w:r>
            <w:proofErr w:type="spell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Óvoda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1,84%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1,326923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JT_jégpálya</w:t>
            </w:r>
            <w:proofErr w:type="spell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_jégpálya</w:t>
            </w:r>
            <w:proofErr w:type="spell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0,50%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0,357143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JT_K21 Kollégium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2,40%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1,728022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_Kórház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0,32%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0,230769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_MaciÓvoda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0,50%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0,357143</w:t>
            </w:r>
          </w:p>
        </w:tc>
      </w:tr>
      <w:tr w:rsidR="00C61AC6" w:rsidRPr="00C61AC6" w:rsidTr="009637E8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JT_gyakorló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7,99%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5,75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JT_040 olvasó</w:t>
            </w:r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5,09%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3,667582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proofErr w:type="gram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.JT</w:t>
            </w:r>
            <w:proofErr w:type="gramEnd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_KözpontiÓvoda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6,74%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4,854396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JT_Kollégium_Torna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5,03%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3,618132</w:t>
            </w:r>
          </w:p>
        </w:tc>
      </w:tr>
      <w:tr w:rsidR="00C61AC6" w:rsidRPr="00C61AC6" w:rsidTr="00C61AC6">
        <w:trPr>
          <w:trHeight w:val="300"/>
        </w:trPr>
        <w:tc>
          <w:tcPr>
            <w:tcW w:w="2830" w:type="dxa"/>
            <w:shd w:val="clear" w:color="auto" w:fill="auto"/>
            <w:noWrap/>
            <w:vAlign w:val="bottom"/>
          </w:tcPr>
          <w:p w:rsidR="00C61AC6" w:rsidRPr="00C61AC6" w:rsidRDefault="00C61AC6" w:rsidP="00C61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61AC6">
              <w:rPr>
                <w:rFonts w:ascii="Calibri" w:eastAsia="Times New Roman" w:hAnsi="Calibri" w:cs="Calibri"/>
                <w:color w:val="000000"/>
                <w:lang w:eastAsia="hu-HU"/>
              </w:rPr>
              <w:t>JT_külső</w:t>
            </w:r>
            <w:proofErr w:type="spellEnd"/>
          </w:p>
        </w:tc>
        <w:tc>
          <w:tcPr>
            <w:tcW w:w="1843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26,59%</w:t>
            </w:r>
          </w:p>
        </w:tc>
        <w:tc>
          <w:tcPr>
            <w:tcW w:w="1985" w:type="dxa"/>
            <w:vAlign w:val="bottom"/>
          </w:tcPr>
          <w:p w:rsidR="00C61AC6" w:rsidRDefault="00C61AC6" w:rsidP="00C61AC6">
            <w:pPr>
              <w:jc w:val="right"/>
              <w:rPr>
                <w:rFonts w:ascii="Calibri" w:hAnsi="Calibri" w:cs="Calibri"/>
                <w:color w:val="548235"/>
              </w:rPr>
            </w:pPr>
            <w:r>
              <w:rPr>
                <w:rFonts w:ascii="Calibri" w:hAnsi="Calibri" w:cs="Calibri"/>
                <w:color w:val="548235"/>
              </w:rPr>
              <w:t>19,14286</w:t>
            </w:r>
          </w:p>
        </w:tc>
      </w:tr>
    </w:tbl>
    <w:p w:rsidR="00C61AC6" w:rsidRDefault="00C61AC6" w:rsidP="00B202FB">
      <w:pPr>
        <w:jc w:val="both"/>
      </w:pPr>
    </w:p>
    <w:p w:rsidR="00EA632E" w:rsidRDefault="00EA632E" w:rsidP="00B202FB">
      <w:pPr>
        <w:jc w:val="both"/>
      </w:pPr>
      <w:r w:rsidRPr="009D2B9A">
        <w:rPr>
          <w:noProof/>
          <w:shd w:val="clear" w:color="auto" w:fill="538135" w:themeFill="accent6" w:themeFillShade="BF"/>
          <w:lang w:eastAsia="hu-HU"/>
        </w:rPr>
        <w:drawing>
          <wp:inline distT="0" distB="0" distL="0" distR="0" wp14:anchorId="0F0AC33B" wp14:editId="61118E86">
            <wp:extent cx="6134100" cy="3105150"/>
            <wp:effectExtent l="0" t="0" r="0" b="0"/>
            <wp:docPr id="63" name="Diagram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D2B9A" w:rsidRDefault="009D2B9A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66673CB4" wp14:editId="446D29C7">
            <wp:extent cx="6210300" cy="2076450"/>
            <wp:effectExtent l="0" t="0" r="0" b="0"/>
            <wp:docPr id="64" name="Diagram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962A9" w:rsidRDefault="00D962A9" w:rsidP="00B202FB">
      <w:pPr>
        <w:jc w:val="both"/>
      </w:pPr>
    </w:p>
    <w:p w:rsidR="0095365C" w:rsidRDefault="007D4DFE" w:rsidP="007D4DFE">
      <w:pPr>
        <w:pStyle w:val="Cmsor3"/>
      </w:pPr>
      <w:bookmarkStart w:id="16" w:name="_Toc515454139"/>
      <w:r>
        <w:t>E</w:t>
      </w:r>
      <w:r w:rsidR="00243B19">
        <w:t>gyetemi összehas</w:t>
      </w:r>
      <w:r>
        <w:t>o</w:t>
      </w:r>
      <w:r w:rsidR="00243B19">
        <w:t>n</w:t>
      </w:r>
      <w:r>
        <w:t>lítás</w:t>
      </w:r>
      <w:bookmarkEnd w:id="16"/>
    </w:p>
    <w:p w:rsidR="0048679D" w:rsidRPr="0095365C" w:rsidRDefault="0048679D" w:rsidP="00B202FB">
      <w:pPr>
        <w:jc w:val="both"/>
        <w:rPr>
          <w:b/>
        </w:rPr>
      </w:pPr>
    </w:p>
    <w:p w:rsidR="0095365C" w:rsidRDefault="00D962A9" w:rsidP="00B202FB">
      <w:pPr>
        <w:jc w:val="both"/>
      </w:pPr>
      <w:r>
        <w:t xml:space="preserve">Egyetemi egyéb kategóriájú oktatást kiegészítő termek </w:t>
      </w:r>
      <w:r w:rsidR="009637E8">
        <w:t>átlag</w:t>
      </w:r>
      <w:r w:rsidR="0095365C">
        <w:t>os kihasználtsága 7,83%-</w:t>
      </w:r>
      <w:proofErr w:type="spellStart"/>
      <w:r w:rsidR="0095365C">
        <w:t>os</w:t>
      </w:r>
      <w:proofErr w:type="spellEnd"/>
      <w:r w:rsidR="0095365C">
        <w:t>, 5,64 óra/hét átlag óraszám mellett. Átla</w:t>
      </w:r>
      <w:r w:rsidR="00AB3792">
        <w:t>gon felüli a kihasználtsága az E</w:t>
      </w:r>
      <w:r w:rsidR="0095365C">
        <w:t xml:space="preserve">gri </w:t>
      </w:r>
      <w:r w:rsidR="00AB3792">
        <w:t>Campus</w:t>
      </w:r>
      <w:r w:rsidR="0095365C">
        <w:t xml:space="preserve"> A épületének, az Érsekkertnek, az E és B épületnek, Sárospataknak és a D épületnek.</w:t>
      </w:r>
      <w:r w:rsidR="00C9493A">
        <w:t xml:space="preserve"> A tanulmány első részében történt kategorizálás szerint, minden egyéb oktatási helyszín teljesen kihasználatlan (0-20% közötti) kategóriába esik.</w:t>
      </w:r>
    </w:p>
    <w:p w:rsidR="0095365C" w:rsidRDefault="0095365C" w:rsidP="00B202FB">
      <w:pPr>
        <w:jc w:val="both"/>
      </w:pPr>
      <w:r>
        <w:t>Átlag alatti a kihasználtsága az F épületnek, Gyöngyösnek, a külső helyszíneknek, Jászberénynek, a C épületnek és a Bartók térnek</w:t>
      </w:r>
      <w:r w:rsidR="00245BD5">
        <w:t>.</w:t>
      </w:r>
    </w:p>
    <w:p w:rsidR="00245BD5" w:rsidRDefault="00245BD5" w:rsidP="00B202FB">
      <w:pPr>
        <w:jc w:val="both"/>
      </w:pPr>
      <w:r>
        <w:t>Itt újra meg kell említenünk, hogy Gyöngyösről és Jászberényről csak 4 félévnyi adatunk van, melyet a többi helyszín 6 féléves adataival vetünk össze.</w:t>
      </w:r>
    </w:p>
    <w:p w:rsidR="0048679D" w:rsidRDefault="0048679D" w:rsidP="00B202FB">
      <w:pPr>
        <w:jc w:val="both"/>
      </w:pPr>
    </w:p>
    <w:p w:rsidR="00D962A9" w:rsidRDefault="0095365C" w:rsidP="00B202FB">
      <w:pPr>
        <w:jc w:val="both"/>
      </w:pPr>
      <w:r>
        <w:t xml:space="preserve">Az egyetemi épületek „egyéb” helyiségeinek </w:t>
      </w:r>
      <w:r w:rsidR="00D962A9">
        <w:t xml:space="preserve">kihasználtsága, </w:t>
      </w:r>
      <w:r w:rsidR="009637E8">
        <w:t>az átlagok csökkenő sorrendjében</w:t>
      </w:r>
      <w:r w:rsidR="00D962A9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lastRenderedPageBreak/>
              <w:t>Egyéb helyiségek/épület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 xml:space="preserve">Átlag kihasználtság 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Átlag óraszám/hét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A 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12,41%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8,94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Érsekkert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11,83%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8,52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E 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10,29%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7,41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B 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9,96%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7,17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Sárospatak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9,58%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6,90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D 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9,42%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6,79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F 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7,41%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5,34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Gyöngyös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7,15%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5,15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Külső helyszín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5,36%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3,86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Jászberény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5,25%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3,78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C épület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3,47%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2,50</w:t>
            </w:r>
          </w:p>
        </w:tc>
      </w:tr>
      <w:tr w:rsidR="009637E8" w:rsidTr="009637E8"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Bartók tér</w:t>
            </w:r>
          </w:p>
        </w:tc>
        <w:tc>
          <w:tcPr>
            <w:tcW w:w="2265" w:type="dxa"/>
          </w:tcPr>
          <w:p w:rsidR="009637E8" w:rsidRDefault="009637E8" w:rsidP="009637E8">
            <w:pPr>
              <w:jc w:val="both"/>
            </w:pPr>
            <w:r>
              <w:t>1,78%</w:t>
            </w:r>
          </w:p>
        </w:tc>
        <w:tc>
          <w:tcPr>
            <w:tcW w:w="2266" w:type="dxa"/>
          </w:tcPr>
          <w:p w:rsidR="009637E8" w:rsidRDefault="009637E8" w:rsidP="009637E8">
            <w:pPr>
              <w:jc w:val="both"/>
            </w:pPr>
            <w:r>
              <w:t>1,28</w:t>
            </w:r>
          </w:p>
        </w:tc>
      </w:tr>
    </w:tbl>
    <w:p w:rsidR="0048679D" w:rsidRDefault="0048679D" w:rsidP="00B202FB">
      <w:pPr>
        <w:jc w:val="both"/>
      </w:pPr>
    </w:p>
    <w:p w:rsidR="0048679D" w:rsidRDefault="0048679D" w:rsidP="00B202FB">
      <w:pPr>
        <w:jc w:val="both"/>
      </w:pPr>
    </w:p>
    <w:p w:rsidR="00167AEC" w:rsidRDefault="00AB3792" w:rsidP="00B202FB">
      <w:pPr>
        <w:jc w:val="both"/>
      </w:pPr>
      <w:proofErr w:type="spellStart"/>
      <w:r>
        <w:t>Campus</w:t>
      </w:r>
      <w:r w:rsidR="00167AEC">
        <w:t>onkénti</w:t>
      </w:r>
      <w:proofErr w:type="spellEnd"/>
      <w:r w:rsidR="00167AEC">
        <w:t xml:space="preserve"> összehasonlításban: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03"/>
        <w:gridCol w:w="1559"/>
      </w:tblGrid>
      <w:tr w:rsidR="00167AEC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7AEC" w:rsidRPr="006C5E45" w:rsidRDefault="00AB3792" w:rsidP="0009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Campus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 kihasználtság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Átlag óraszám</w:t>
            </w:r>
          </w:p>
        </w:tc>
      </w:tr>
      <w:tr w:rsidR="00167AEC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Eger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9,65</w:t>
            </w: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6,95</w:t>
            </w:r>
          </w:p>
        </w:tc>
      </w:tr>
      <w:tr w:rsidR="00167AEC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Sárospatak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,58%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6,90</w:t>
            </w:r>
          </w:p>
        </w:tc>
      </w:tr>
      <w:tr w:rsidR="00167AEC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Gyöngyös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7,15</w:t>
            </w: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5,15</w:t>
            </w:r>
          </w:p>
        </w:tc>
      </w:tr>
      <w:tr w:rsidR="00167AEC" w:rsidRPr="006C5E45" w:rsidTr="000929EB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Jászberény</w:t>
            </w: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5,25</w:t>
            </w:r>
            <w:r w:rsidRPr="006C5E45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7AEC" w:rsidRPr="006C5E45" w:rsidRDefault="00167AEC" w:rsidP="00092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3,78</w:t>
            </w:r>
          </w:p>
        </w:tc>
      </w:tr>
    </w:tbl>
    <w:p w:rsidR="00167AEC" w:rsidRDefault="00167AEC" w:rsidP="00B202FB">
      <w:pPr>
        <w:jc w:val="both"/>
      </w:pPr>
    </w:p>
    <w:p w:rsidR="0048679D" w:rsidRDefault="0048679D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8C4BA06" wp14:editId="6DD04CF2">
            <wp:extent cx="6200775" cy="2743200"/>
            <wp:effectExtent l="0" t="0" r="9525" b="0"/>
            <wp:docPr id="70" name="Diagram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8679D" w:rsidRDefault="0048679D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20551F86" wp14:editId="31C253EB">
            <wp:extent cx="6191250" cy="2743200"/>
            <wp:effectExtent l="0" t="0" r="0" b="0"/>
            <wp:docPr id="71" name="Diagram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637E8" w:rsidRDefault="009637E8" w:rsidP="00B202FB">
      <w:pPr>
        <w:jc w:val="both"/>
      </w:pPr>
      <w:r>
        <w:rPr>
          <w:noProof/>
          <w:lang w:eastAsia="hu-HU"/>
        </w:rPr>
        <w:drawing>
          <wp:inline distT="0" distB="0" distL="0" distR="0" wp14:anchorId="1D3628BE" wp14:editId="5B312712">
            <wp:extent cx="6200775" cy="3848100"/>
            <wp:effectExtent l="0" t="0" r="9525" b="0"/>
            <wp:docPr id="65" name="Diagram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9637E8" w:rsidRDefault="009637E8" w:rsidP="00B202FB">
      <w:pPr>
        <w:jc w:val="both"/>
      </w:pPr>
    </w:p>
    <w:p w:rsidR="009637E8" w:rsidRDefault="009637E8" w:rsidP="00B202FB">
      <w:pPr>
        <w:jc w:val="both"/>
      </w:pPr>
      <w:r>
        <w:rPr>
          <w:noProof/>
          <w:lang w:eastAsia="hu-HU"/>
        </w:rPr>
        <w:lastRenderedPageBreak/>
        <w:drawing>
          <wp:inline distT="0" distB="0" distL="0" distR="0" wp14:anchorId="02189AC3" wp14:editId="64FD3684">
            <wp:extent cx="6124575" cy="4400550"/>
            <wp:effectExtent l="0" t="0" r="9525" b="0"/>
            <wp:docPr id="67" name="Diagram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C9493A" w:rsidRDefault="00606597" w:rsidP="00B202FB">
      <w:pPr>
        <w:jc w:val="both"/>
      </w:pPr>
      <w:r>
        <w:t xml:space="preserve">Az egyéb helyszínek közé nagyrészt a </w:t>
      </w:r>
      <w:r w:rsidR="00AB3792">
        <w:t>Campus</w:t>
      </w:r>
      <w:r>
        <w:t xml:space="preserve"> épületeihez tartozó irodák, helyiségek kerülnek, elenyésző a valóban egyetemtől független helyszínek száma (ahogyan ezt korábban említettük nehéz a külső helyszínek leválogatása, így ezt nem tudjuk </w:t>
      </w:r>
      <w:proofErr w:type="spellStart"/>
      <w:r>
        <w:t>számszerűsíte</w:t>
      </w:r>
      <w:r w:rsidR="00AB3792">
        <w:t>ni</w:t>
      </w:r>
      <w:proofErr w:type="spellEnd"/>
      <w:r w:rsidR="00AB3792">
        <w:t>). Mégis megvi</w:t>
      </w:r>
      <w:r>
        <w:t>z</w:t>
      </w:r>
      <w:r w:rsidR="00AB3792">
        <w:t>s</w:t>
      </w:r>
      <w:r>
        <w:t>gálásra volna érdemes, hogy saját termeinkkel megfelelően tudjunk gazdálkodni, a nem kihasznált épületek mellé még külső/egyéb helyszínek bevonása az oktatásba vajon szükségszerű-e.</w:t>
      </w:r>
      <w:r w:rsidR="004B098A">
        <w:t xml:space="preserve"> Itt természetesen nem vizsgált/</w:t>
      </w:r>
      <w:r w:rsidR="005956DE">
        <w:t>vizsgálható szempont a termek, helyiségek befogadóképessége, felszereltsége, oktatási célokkal való összhangja.</w:t>
      </w:r>
    </w:p>
    <w:p w:rsidR="00606597" w:rsidRDefault="00606597" w:rsidP="00B202FB">
      <w:pPr>
        <w:jc w:val="both"/>
      </w:pPr>
    </w:p>
    <w:p w:rsidR="00167AEC" w:rsidRPr="00455A20" w:rsidRDefault="00167AEC" w:rsidP="00B202FB">
      <w:pPr>
        <w:jc w:val="both"/>
      </w:pPr>
    </w:p>
    <w:sectPr w:rsidR="00167AEC" w:rsidRPr="00455A20" w:rsidSect="005E0343">
      <w:headerReference w:type="default" r:id="rId63"/>
      <w:footerReference w:type="default" r:id="rId6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92" w:rsidRDefault="00517B92" w:rsidP="003227E9">
      <w:pPr>
        <w:spacing w:after="0" w:line="240" w:lineRule="auto"/>
      </w:pPr>
      <w:r>
        <w:separator/>
      </w:r>
    </w:p>
  </w:endnote>
  <w:endnote w:type="continuationSeparator" w:id="0">
    <w:p w:rsidR="00517B92" w:rsidRDefault="00517B92" w:rsidP="0032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601586"/>
      <w:docPartObj>
        <w:docPartGallery w:val="Page Numbers (Bottom of Page)"/>
        <w:docPartUnique/>
      </w:docPartObj>
    </w:sdtPr>
    <w:sdtEndPr/>
    <w:sdtContent>
      <w:p w:rsidR="009637E8" w:rsidRDefault="009637E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33A">
          <w:rPr>
            <w:noProof/>
          </w:rPr>
          <w:t>20</w:t>
        </w:r>
        <w:r>
          <w:fldChar w:fldCharType="end"/>
        </w:r>
      </w:p>
    </w:sdtContent>
  </w:sdt>
  <w:p w:rsidR="009637E8" w:rsidRDefault="009637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92" w:rsidRDefault="00517B92" w:rsidP="003227E9">
      <w:pPr>
        <w:spacing w:after="0" w:line="240" w:lineRule="auto"/>
      </w:pPr>
      <w:r>
        <w:separator/>
      </w:r>
    </w:p>
  </w:footnote>
  <w:footnote w:type="continuationSeparator" w:id="0">
    <w:p w:rsidR="00517B92" w:rsidRDefault="00517B92" w:rsidP="0032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3A" w:rsidRPr="00FB194D" w:rsidRDefault="0085633A" w:rsidP="0085633A">
    <w:pPr>
      <w:pStyle w:val="lfej"/>
      <w:ind w:right="-284"/>
      <w:jc w:val="right"/>
      <w:rPr>
        <w:rFonts w:cs="Arial"/>
        <w:b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0436515" wp14:editId="048985EA">
          <wp:simplePos x="0" y="0"/>
          <wp:positionH relativeFrom="margin">
            <wp:posOffset>-85725</wp:posOffset>
          </wp:positionH>
          <wp:positionV relativeFrom="paragraph">
            <wp:posOffset>-305435</wp:posOffset>
          </wp:positionV>
          <wp:extent cx="2438400" cy="748030"/>
          <wp:effectExtent l="0" t="0" r="0" b="0"/>
          <wp:wrapSquare wrapText="bothSides"/>
          <wp:docPr id="174" name="Kép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EKE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94D">
      <w:rPr>
        <w:rFonts w:cs="Arial"/>
        <w:b/>
        <w:sz w:val="18"/>
        <w:szCs w:val="18"/>
      </w:rPr>
      <w:t>EFOP-3.4.3-16-206-00010</w:t>
    </w:r>
  </w:p>
  <w:p w:rsidR="0085633A" w:rsidRPr="00B90F6C" w:rsidRDefault="0085633A" w:rsidP="0085633A">
    <w:pPr>
      <w:pStyle w:val="lfej"/>
      <w:ind w:right="-284"/>
      <w:jc w:val="right"/>
      <w:rPr>
        <w:sz w:val="28"/>
        <w:szCs w:val="28"/>
      </w:rPr>
    </w:pPr>
    <w:r w:rsidRPr="0007288C">
      <w:rPr>
        <w:rFonts w:cs="Arial"/>
        <w:sz w:val="18"/>
        <w:szCs w:val="18"/>
      </w:rPr>
      <w:t>„</w:t>
    </w:r>
    <w:r w:rsidRPr="00694D5F">
      <w:rPr>
        <w:rFonts w:cs="Arial"/>
        <w:sz w:val="18"/>
        <w:szCs w:val="18"/>
      </w:rPr>
      <w:t>Az Eszterházy Károly Egyetem fejlesztése a felsőfokú oktatás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br/>
    </w:r>
    <w:r w:rsidRPr="00694D5F">
      <w:rPr>
        <w:rFonts w:cs="Arial"/>
        <w:sz w:val="18"/>
        <w:szCs w:val="18"/>
      </w:rPr>
      <w:t>minőségének és hozzáférhetőségének együttes</w:t>
    </w:r>
    <w:r>
      <w:rPr>
        <w:rFonts w:cs="Arial"/>
        <w:sz w:val="18"/>
        <w:szCs w:val="18"/>
      </w:rPr>
      <w:t xml:space="preserve"> </w:t>
    </w:r>
    <w:r w:rsidRPr="00694D5F">
      <w:rPr>
        <w:rFonts w:cs="Arial"/>
        <w:sz w:val="18"/>
        <w:szCs w:val="18"/>
      </w:rPr>
      <w:t>javítása érdekében</w:t>
    </w:r>
  </w:p>
  <w:p w:rsidR="0085633A" w:rsidRDefault="008563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2B3"/>
    <w:multiLevelType w:val="hybridMultilevel"/>
    <w:tmpl w:val="B40A68AE"/>
    <w:lvl w:ilvl="0" w:tplc="79F0590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A"/>
    <w:rsid w:val="00022C85"/>
    <w:rsid w:val="000328AE"/>
    <w:rsid w:val="00041AF0"/>
    <w:rsid w:val="00050AE2"/>
    <w:rsid w:val="00051120"/>
    <w:rsid w:val="0005775B"/>
    <w:rsid w:val="00065C96"/>
    <w:rsid w:val="00075235"/>
    <w:rsid w:val="0008415F"/>
    <w:rsid w:val="0009004E"/>
    <w:rsid w:val="000A59FF"/>
    <w:rsid w:val="000B0FF1"/>
    <w:rsid w:val="000B4EC5"/>
    <w:rsid w:val="000B63F8"/>
    <w:rsid w:val="000C0A77"/>
    <w:rsid w:val="000C2DB4"/>
    <w:rsid w:val="000F0087"/>
    <w:rsid w:val="00101308"/>
    <w:rsid w:val="00122320"/>
    <w:rsid w:val="001358A3"/>
    <w:rsid w:val="00140A7D"/>
    <w:rsid w:val="001572BF"/>
    <w:rsid w:val="0015759C"/>
    <w:rsid w:val="00157628"/>
    <w:rsid w:val="00160855"/>
    <w:rsid w:val="00167AEC"/>
    <w:rsid w:val="00173267"/>
    <w:rsid w:val="00173ED4"/>
    <w:rsid w:val="00186483"/>
    <w:rsid w:val="00186E53"/>
    <w:rsid w:val="001C0FB8"/>
    <w:rsid w:val="001E2045"/>
    <w:rsid w:val="001E3064"/>
    <w:rsid w:val="001E7C11"/>
    <w:rsid w:val="001F1B68"/>
    <w:rsid w:val="001F2303"/>
    <w:rsid w:val="001F7326"/>
    <w:rsid w:val="002140EF"/>
    <w:rsid w:val="0022250B"/>
    <w:rsid w:val="002320EF"/>
    <w:rsid w:val="0024398B"/>
    <w:rsid w:val="00243B19"/>
    <w:rsid w:val="00245BD5"/>
    <w:rsid w:val="002736EB"/>
    <w:rsid w:val="002738B0"/>
    <w:rsid w:val="002749BA"/>
    <w:rsid w:val="00282185"/>
    <w:rsid w:val="00292995"/>
    <w:rsid w:val="002933C3"/>
    <w:rsid w:val="00296B03"/>
    <w:rsid w:val="002A4300"/>
    <w:rsid w:val="002C483D"/>
    <w:rsid w:val="002D39D9"/>
    <w:rsid w:val="002E1A64"/>
    <w:rsid w:val="00310B47"/>
    <w:rsid w:val="003129FB"/>
    <w:rsid w:val="0032113C"/>
    <w:rsid w:val="003227E9"/>
    <w:rsid w:val="0033296D"/>
    <w:rsid w:val="0034576B"/>
    <w:rsid w:val="00354DC5"/>
    <w:rsid w:val="00391A19"/>
    <w:rsid w:val="00394ACB"/>
    <w:rsid w:val="003A5F12"/>
    <w:rsid w:val="003B1A7A"/>
    <w:rsid w:val="003D036D"/>
    <w:rsid w:val="003D25E4"/>
    <w:rsid w:val="003E53A5"/>
    <w:rsid w:val="003E64D9"/>
    <w:rsid w:val="004026A2"/>
    <w:rsid w:val="004071F1"/>
    <w:rsid w:val="00421C62"/>
    <w:rsid w:val="00455A20"/>
    <w:rsid w:val="0048679D"/>
    <w:rsid w:val="00492FBD"/>
    <w:rsid w:val="004978BB"/>
    <w:rsid w:val="004A2187"/>
    <w:rsid w:val="004A715A"/>
    <w:rsid w:val="004B098A"/>
    <w:rsid w:val="004B3A62"/>
    <w:rsid w:val="004D3E1D"/>
    <w:rsid w:val="004E04BD"/>
    <w:rsid w:val="004E0A1E"/>
    <w:rsid w:val="004F0DE4"/>
    <w:rsid w:val="004F276C"/>
    <w:rsid w:val="004F5644"/>
    <w:rsid w:val="005154EA"/>
    <w:rsid w:val="00517B92"/>
    <w:rsid w:val="00525D88"/>
    <w:rsid w:val="00530382"/>
    <w:rsid w:val="00533CE9"/>
    <w:rsid w:val="0054062E"/>
    <w:rsid w:val="00543477"/>
    <w:rsid w:val="00543823"/>
    <w:rsid w:val="0055564A"/>
    <w:rsid w:val="00564A60"/>
    <w:rsid w:val="00571BD6"/>
    <w:rsid w:val="00572C5A"/>
    <w:rsid w:val="005748AC"/>
    <w:rsid w:val="00575349"/>
    <w:rsid w:val="00575A3C"/>
    <w:rsid w:val="00580AB1"/>
    <w:rsid w:val="0059024F"/>
    <w:rsid w:val="00591C4A"/>
    <w:rsid w:val="005956DE"/>
    <w:rsid w:val="005A67F8"/>
    <w:rsid w:val="005A6C14"/>
    <w:rsid w:val="005B5DFD"/>
    <w:rsid w:val="005C7E61"/>
    <w:rsid w:val="005E0343"/>
    <w:rsid w:val="005E7D56"/>
    <w:rsid w:val="00606597"/>
    <w:rsid w:val="00613701"/>
    <w:rsid w:val="00617E1E"/>
    <w:rsid w:val="00623D18"/>
    <w:rsid w:val="00625949"/>
    <w:rsid w:val="00647121"/>
    <w:rsid w:val="00647D40"/>
    <w:rsid w:val="00655178"/>
    <w:rsid w:val="0067177A"/>
    <w:rsid w:val="006732AD"/>
    <w:rsid w:val="00676AD4"/>
    <w:rsid w:val="006841BC"/>
    <w:rsid w:val="00686B02"/>
    <w:rsid w:val="00687E73"/>
    <w:rsid w:val="006916D5"/>
    <w:rsid w:val="00694870"/>
    <w:rsid w:val="006C5E45"/>
    <w:rsid w:val="006D1619"/>
    <w:rsid w:val="006D365E"/>
    <w:rsid w:val="00703629"/>
    <w:rsid w:val="00714984"/>
    <w:rsid w:val="0072363C"/>
    <w:rsid w:val="007330B4"/>
    <w:rsid w:val="00745A97"/>
    <w:rsid w:val="00747654"/>
    <w:rsid w:val="0075409D"/>
    <w:rsid w:val="00757B73"/>
    <w:rsid w:val="007640F1"/>
    <w:rsid w:val="0077781B"/>
    <w:rsid w:val="00792192"/>
    <w:rsid w:val="007A7777"/>
    <w:rsid w:val="007C7DB4"/>
    <w:rsid w:val="007D4DFE"/>
    <w:rsid w:val="00823B27"/>
    <w:rsid w:val="008276AC"/>
    <w:rsid w:val="00830A75"/>
    <w:rsid w:val="0083750F"/>
    <w:rsid w:val="008425E4"/>
    <w:rsid w:val="008526AA"/>
    <w:rsid w:val="00853D59"/>
    <w:rsid w:val="0085633A"/>
    <w:rsid w:val="00864F6C"/>
    <w:rsid w:val="008708FA"/>
    <w:rsid w:val="00873779"/>
    <w:rsid w:val="008739BE"/>
    <w:rsid w:val="008773E8"/>
    <w:rsid w:val="00884C62"/>
    <w:rsid w:val="00885970"/>
    <w:rsid w:val="008911FE"/>
    <w:rsid w:val="008912F3"/>
    <w:rsid w:val="00897D15"/>
    <w:rsid w:val="008A3888"/>
    <w:rsid w:val="008D311F"/>
    <w:rsid w:val="008F10F2"/>
    <w:rsid w:val="008F2F33"/>
    <w:rsid w:val="0091212B"/>
    <w:rsid w:val="0091631D"/>
    <w:rsid w:val="00926C7A"/>
    <w:rsid w:val="00931F3D"/>
    <w:rsid w:val="00952AA9"/>
    <w:rsid w:val="0095365C"/>
    <w:rsid w:val="00962B4C"/>
    <w:rsid w:val="009637E8"/>
    <w:rsid w:val="00967B67"/>
    <w:rsid w:val="0097463C"/>
    <w:rsid w:val="00983418"/>
    <w:rsid w:val="00987BB2"/>
    <w:rsid w:val="00997FD6"/>
    <w:rsid w:val="009C4C8B"/>
    <w:rsid w:val="009C68FE"/>
    <w:rsid w:val="009C75D7"/>
    <w:rsid w:val="009D2B9A"/>
    <w:rsid w:val="009E0CAA"/>
    <w:rsid w:val="009E6962"/>
    <w:rsid w:val="009F1D74"/>
    <w:rsid w:val="009F4393"/>
    <w:rsid w:val="00A07489"/>
    <w:rsid w:val="00A13780"/>
    <w:rsid w:val="00A16B7D"/>
    <w:rsid w:val="00A374FA"/>
    <w:rsid w:val="00A401F4"/>
    <w:rsid w:val="00A81268"/>
    <w:rsid w:val="00A83482"/>
    <w:rsid w:val="00A872C2"/>
    <w:rsid w:val="00A944B5"/>
    <w:rsid w:val="00AA1702"/>
    <w:rsid w:val="00AB3792"/>
    <w:rsid w:val="00AC136F"/>
    <w:rsid w:val="00AC49F3"/>
    <w:rsid w:val="00AD56BF"/>
    <w:rsid w:val="00AE413D"/>
    <w:rsid w:val="00AF655E"/>
    <w:rsid w:val="00B1662B"/>
    <w:rsid w:val="00B200CB"/>
    <w:rsid w:val="00B202FB"/>
    <w:rsid w:val="00B300F6"/>
    <w:rsid w:val="00B45686"/>
    <w:rsid w:val="00B54074"/>
    <w:rsid w:val="00B560BB"/>
    <w:rsid w:val="00B70721"/>
    <w:rsid w:val="00B741DD"/>
    <w:rsid w:val="00B979DF"/>
    <w:rsid w:val="00BA6428"/>
    <w:rsid w:val="00BD239B"/>
    <w:rsid w:val="00BE0A18"/>
    <w:rsid w:val="00BE5CDC"/>
    <w:rsid w:val="00C07F3F"/>
    <w:rsid w:val="00C150A3"/>
    <w:rsid w:val="00C16CFB"/>
    <w:rsid w:val="00C231D7"/>
    <w:rsid w:val="00C27D7A"/>
    <w:rsid w:val="00C3444F"/>
    <w:rsid w:val="00C51194"/>
    <w:rsid w:val="00C61AC6"/>
    <w:rsid w:val="00C65BBC"/>
    <w:rsid w:val="00C9493A"/>
    <w:rsid w:val="00C95FB9"/>
    <w:rsid w:val="00CB2955"/>
    <w:rsid w:val="00CC4AFB"/>
    <w:rsid w:val="00D020A7"/>
    <w:rsid w:val="00D22A51"/>
    <w:rsid w:val="00D549F0"/>
    <w:rsid w:val="00D6255E"/>
    <w:rsid w:val="00D6386B"/>
    <w:rsid w:val="00D75DED"/>
    <w:rsid w:val="00D82717"/>
    <w:rsid w:val="00D83856"/>
    <w:rsid w:val="00D962A9"/>
    <w:rsid w:val="00DB05AD"/>
    <w:rsid w:val="00DC5E29"/>
    <w:rsid w:val="00DD2771"/>
    <w:rsid w:val="00DE421D"/>
    <w:rsid w:val="00DE4D2D"/>
    <w:rsid w:val="00E172ED"/>
    <w:rsid w:val="00E30189"/>
    <w:rsid w:val="00E32846"/>
    <w:rsid w:val="00E40A3A"/>
    <w:rsid w:val="00E41113"/>
    <w:rsid w:val="00E60793"/>
    <w:rsid w:val="00E75E62"/>
    <w:rsid w:val="00E77B9C"/>
    <w:rsid w:val="00EA632E"/>
    <w:rsid w:val="00EB4970"/>
    <w:rsid w:val="00EE4B24"/>
    <w:rsid w:val="00EE6CD2"/>
    <w:rsid w:val="00EF1BD5"/>
    <w:rsid w:val="00F034AB"/>
    <w:rsid w:val="00F04CCF"/>
    <w:rsid w:val="00F076A0"/>
    <w:rsid w:val="00F35180"/>
    <w:rsid w:val="00F47023"/>
    <w:rsid w:val="00F55830"/>
    <w:rsid w:val="00F60B21"/>
    <w:rsid w:val="00F97CA2"/>
    <w:rsid w:val="00FE081A"/>
    <w:rsid w:val="00FF5574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2362-3A02-45F9-B79C-1C95949E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86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8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86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9B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2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27E9"/>
  </w:style>
  <w:style w:type="paragraph" w:styleId="llb">
    <w:name w:val="footer"/>
    <w:basedOn w:val="Norml"/>
    <w:link w:val="llbChar"/>
    <w:uiPriority w:val="99"/>
    <w:unhideWhenUsed/>
    <w:rsid w:val="0032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27E9"/>
  </w:style>
  <w:style w:type="table" w:styleId="Rcsostblzat">
    <w:name w:val="Table Grid"/>
    <w:basedOn w:val="Normltblzat"/>
    <w:uiPriority w:val="39"/>
    <w:rsid w:val="0089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8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86B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86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4062E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4062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4062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4062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54062E"/>
    <w:rPr>
      <w:color w:val="0563C1" w:themeColor="hyperlink"/>
      <w:u w:val="single"/>
    </w:rPr>
  </w:style>
  <w:style w:type="paragraph" w:styleId="Nincstrkz">
    <w:name w:val="No Spacing"/>
    <w:link w:val="NincstrkzChar"/>
    <w:uiPriority w:val="1"/>
    <w:qFormat/>
    <w:rsid w:val="005E0343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5E0343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8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hart" Target="charts/chart53.xml"/><Relationship Id="rId19" Type="http://schemas.openxmlformats.org/officeDocument/2006/relationships/chart" Target="charts/chart1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hart" Target="charts/chart43.xml"/><Relationship Id="rId3" Type="http://schemas.openxmlformats.org/officeDocument/2006/relationships/numbering" Target="numbering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2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9" Type="http://schemas.openxmlformats.org/officeDocument/2006/relationships/chart" Target="charts/chart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KE\Documents\teremkihaszn&#225;lts&#225;g\teremkihaszn&#225;lts&#225;g_elemz&#233;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Az egri </a:t>
            </a:r>
            <a:r>
              <a:rPr lang="hu-HU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átlag és maximális heti óraszámai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eger!$CV$212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eger!$CW$210:$DB$211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eger!$CW$212:$DB$212</c:f>
            </c:numRef>
          </c:val>
          <c:extLst>
            <c:ext xmlns:c16="http://schemas.microsoft.com/office/drawing/2014/chart" uri="{C3380CC4-5D6E-409C-BE32-E72D297353CC}">
              <c16:uniqueId val="{00000000-EFC3-40E2-A312-A53D34006513}"/>
            </c:ext>
          </c:extLst>
        </c:ser>
        <c:ser>
          <c:idx val="1"/>
          <c:order val="1"/>
          <c:tx>
            <c:strRef>
              <c:f>eger!$CV$213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eger!$CW$210:$DB$211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eger!$CW$213:$DB$213</c:f>
            </c:numRef>
          </c:val>
          <c:extLst>
            <c:ext xmlns:c16="http://schemas.microsoft.com/office/drawing/2014/chart" uri="{C3380CC4-5D6E-409C-BE32-E72D297353CC}">
              <c16:uniqueId val="{00000001-EFC3-40E2-A312-A53D34006513}"/>
            </c:ext>
          </c:extLst>
        </c:ser>
        <c:ser>
          <c:idx val="2"/>
          <c:order val="2"/>
          <c:tx>
            <c:strRef>
              <c:f>eger!$CV$214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eger!$CW$210:$DB$211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eger!$CW$214:$DB$214</c:f>
            </c:numRef>
          </c:val>
          <c:extLst>
            <c:ext xmlns:c16="http://schemas.microsoft.com/office/drawing/2014/chart" uri="{C3380CC4-5D6E-409C-BE32-E72D297353CC}">
              <c16:uniqueId val="{00000002-EFC3-40E2-A312-A53D34006513}"/>
            </c:ext>
          </c:extLst>
        </c:ser>
        <c:ser>
          <c:idx val="3"/>
          <c:order val="3"/>
          <c:tx>
            <c:strRef>
              <c:f>eger!$CV$215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eger!$CW$210:$DB$211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eger!$CW$215:$DB$215</c:f>
            </c:numRef>
          </c:val>
          <c:extLst>
            <c:ext xmlns:c16="http://schemas.microsoft.com/office/drawing/2014/chart" uri="{C3380CC4-5D6E-409C-BE32-E72D297353CC}">
              <c16:uniqueId val="{00000003-EFC3-40E2-A312-A53D34006513}"/>
            </c:ext>
          </c:extLst>
        </c:ser>
        <c:ser>
          <c:idx val="4"/>
          <c:order val="4"/>
          <c:tx>
            <c:strRef>
              <c:f>eger!$CV$216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eger!$CW$210:$DB$211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eger!$CW$216:$DB$216</c:f>
              <c:numCache>
                <c:formatCode>0.00</c:formatCode>
                <c:ptCount val="6"/>
                <c:pt idx="0">
                  <c:v>22.559143686502178</c:v>
                </c:pt>
                <c:pt idx="1">
                  <c:v>20.69777628032346</c:v>
                </c:pt>
                <c:pt idx="2">
                  <c:v>43.071794871794864</c:v>
                </c:pt>
                <c:pt idx="3">
                  <c:v>39.560544217687074</c:v>
                </c:pt>
                <c:pt idx="4">
                  <c:v>41.447619047619057</c:v>
                </c:pt>
                <c:pt idx="5">
                  <c:v>39.170068027210895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C3-40E2-A312-A53D34006513}"/>
            </c:ext>
          </c:extLst>
        </c:ser>
        <c:ser>
          <c:idx val="5"/>
          <c:order val="5"/>
          <c:tx>
            <c:strRef>
              <c:f>eger!$CV$217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eger!$CW$210:$DB$211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eger!$CW$217:$DB$217</c:f>
              <c:numCache>
                <c:formatCode>0.00</c:formatCode>
                <c:ptCount val="6"/>
                <c:pt idx="0">
                  <c:v>68.307692307692278</c:v>
                </c:pt>
                <c:pt idx="1">
                  <c:v>61.571428571428577</c:v>
                </c:pt>
                <c:pt idx="2">
                  <c:v>65.923076923076906</c:v>
                </c:pt>
                <c:pt idx="3">
                  <c:v>62.357142857142847</c:v>
                </c:pt>
                <c:pt idx="4">
                  <c:v>64.307692307692278</c:v>
                </c:pt>
                <c:pt idx="5">
                  <c:v>63.142857142857125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C3-40E2-A312-A53D3400651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008854656"/>
        <c:axId val="2008849248"/>
      </c:barChart>
      <c:catAx>
        <c:axId val="2008854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08849248"/>
        <c:crosses val="autoZero"/>
        <c:auto val="1"/>
        <c:lblAlgn val="ctr"/>
        <c:lblOffset val="100"/>
        <c:noMultiLvlLbl val="0"/>
      </c:catAx>
      <c:valAx>
        <c:axId val="20088492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0885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D épület átlagos és maximális óraszámai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eger!$CV$295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eger!$CW$294:$DB$294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eger!$CW$295:$DB$295</c:f>
              <c:numCache>
                <c:formatCode>0.00</c:formatCode>
                <c:ptCount val="6"/>
                <c:pt idx="0">
                  <c:v>33.63461538461538</c:v>
                </c:pt>
                <c:pt idx="1">
                  <c:v>30.839285714285719</c:v>
                </c:pt>
                <c:pt idx="2">
                  <c:v>32.198717948717949</c:v>
                </c:pt>
                <c:pt idx="3">
                  <c:v>31.660714285714292</c:v>
                </c:pt>
                <c:pt idx="4">
                  <c:v>32.961538461538467</c:v>
                </c:pt>
                <c:pt idx="5">
                  <c:v>29.291666666666675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7-4FC3-865A-D7A9D438413F}"/>
            </c:ext>
          </c:extLst>
        </c:ser>
        <c:ser>
          <c:idx val="1"/>
          <c:order val="1"/>
          <c:tx>
            <c:strRef>
              <c:f>eger!$CV$296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eger!$CW$294:$DB$294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eger!$CW$296:$DB$296</c:f>
              <c:numCache>
                <c:formatCode>0.00</c:formatCode>
                <c:ptCount val="6"/>
                <c:pt idx="0">
                  <c:v>55.307692307692292</c:v>
                </c:pt>
                <c:pt idx="1">
                  <c:v>51.428571428571423</c:v>
                </c:pt>
                <c:pt idx="2">
                  <c:v>53.307692307692299</c:v>
                </c:pt>
                <c:pt idx="3">
                  <c:v>50.785714285714292</c:v>
                </c:pt>
                <c:pt idx="4">
                  <c:v>56.307692307692307</c:v>
                </c:pt>
                <c:pt idx="5">
                  <c:v>52.142857142857139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C7-4FC3-865A-D7A9D438413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21407167"/>
        <c:axId val="221404671"/>
      </c:barChart>
      <c:catAx>
        <c:axId val="2214071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1404671"/>
        <c:crosses val="autoZero"/>
        <c:auto val="1"/>
        <c:lblAlgn val="ctr"/>
        <c:lblOffset val="100"/>
        <c:noMultiLvlLbl val="0"/>
      </c:catAx>
      <c:valAx>
        <c:axId val="22140467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140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Az E épület oktatótereinek átlagos és maximális  kihasználtsága 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eger_tanterem!$CM$315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eger_tanterem!$CN$314:$CS$314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eger_tanterem!$CN$315:$CS$315</c:f>
              <c:numCache>
                <c:formatCode>0.00%</c:formatCode>
                <c:ptCount val="6"/>
                <c:pt idx="0">
                  <c:v>0.41126194067370547</c:v>
                </c:pt>
                <c:pt idx="1">
                  <c:v>0.39781746031746035</c:v>
                </c:pt>
                <c:pt idx="2">
                  <c:v>0.37820512820512825</c:v>
                </c:pt>
                <c:pt idx="3">
                  <c:v>0.2893323996265173</c:v>
                </c:pt>
                <c:pt idx="4">
                  <c:v>0.3324534942182002</c:v>
                </c:pt>
                <c:pt idx="5">
                  <c:v>0.31010737628384688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4-4373-B784-1BC0BA44A0D2}"/>
            </c:ext>
          </c:extLst>
        </c:ser>
        <c:ser>
          <c:idx val="1"/>
          <c:order val="1"/>
          <c:tx>
            <c:strRef>
              <c:f>eger_tanterem!$CM$316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eger_tanterem!$CN$314:$CS$314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eger_tanterem!$CN$316:$CS$316</c:f>
              <c:numCache>
                <c:formatCode>0.00%</c:formatCode>
                <c:ptCount val="6"/>
                <c:pt idx="0">
                  <c:v>0.94444444444444386</c:v>
                </c:pt>
                <c:pt idx="1">
                  <c:v>0.94841269841269804</c:v>
                </c:pt>
                <c:pt idx="2">
                  <c:v>0.84188034188034166</c:v>
                </c:pt>
                <c:pt idx="3">
                  <c:v>0.74900793650793662</c:v>
                </c:pt>
                <c:pt idx="4">
                  <c:v>0.77991452991452992</c:v>
                </c:pt>
                <c:pt idx="5">
                  <c:v>0.78373015873015894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24-4373-B784-1BC0BA44A0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5730927"/>
        <c:axId val="105726351"/>
      </c:barChart>
      <c:catAx>
        <c:axId val="1057309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5726351"/>
        <c:crosses val="autoZero"/>
        <c:auto val="1"/>
        <c:lblAlgn val="ctr"/>
        <c:lblOffset val="100"/>
        <c:noMultiLvlLbl val="0"/>
      </c:catAx>
      <c:valAx>
        <c:axId val="10572635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57309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 épület óraszámainak átlaga és maximuma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eger!$CV$315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eger!$CW$314:$DB$314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eger!$CW$315:$DB$315</c:f>
              <c:numCache>
                <c:formatCode>0.00</c:formatCode>
                <c:ptCount val="6"/>
                <c:pt idx="0">
                  <c:v>29.610859728506789</c:v>
                </c:pt>
                <c:pt idx="1">
                  <c:v>28.642857142857142</c:v>
                </c:pt>
                <c:pt idx="2">
                  <c:v>27.230769230769237</c:v>
                </c:pt>
                <c:pt idx="3">
                  <c:v>20.831932773109248</c:v>
                </c:pt>
                <c:pt idx="4">
                  <c:v>23.936651583710415</c:v>
                </c:pt>
                <c:pt idx="5">
                  <c:v>22.327731092436981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3-4EA3-ABF9-50828ECF764F}"/>
            </c:ext>
          </c:extLst>
        </c:ser>
        <c:ser>
          <c:idx val="1"/>
          <c:order val="1"/>
          <c:tx>
            <c:strRef>
              <c:f>eger!$CV$316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eger!$CW$314:$DB$314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eger!$CW$316:$DB$316</c:f>
              <c:numCache>
                <c:formatCode>0.00</c:formatCode>
                <c:ptCount val="6"/>
                <c:pt idx="0">
                  <c:v>55.461538461538474</c:v>
                </c:pt>
                <c:pt idx="1">
                  <c:v>55.285714285714292</c:v>
                </c:pt>
                <c:pt idx="2">
                  <c:v>55.15384615384616</c:v>
                </c:pt>
                <c:pt idx="3">
                  <c:v>45.928571428571438</c:v>
                </c:pt>
                <c:pt idx="4">
                  <c:v>46.07692307692308</c:v>
                </c:pt>
                <c:pt idx="5">
                  <c:v>46.571428571428605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E3-4EA3-ABF9-50828ECF764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21416735"/>
        <c:axId val="221410495"/>
      </c:barChart>
      <c:catAx>
        <c:axId val="2214167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1410495"/>
        <c:crosses val="autoZero"/>
        <c:auto val="1"/>
        <c:lblAlgn val="ctr"/>
        <c:lblOffset val="100"/>
        <c:noMultiLvlLbl val="0"/>
      </c:catAx>
      <c:valAx>
        <c:axId val="22141049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1416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Érsekkerti épület termeinek átlagos és maximális kihasználtsága 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eger_tanterem!$CM$326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4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eger_tanterem!$CN$325:$CS$325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eger_tanterem!$CN$326:$CS$326</c:f>
              <c:numCache>
                <c:formatCode>0.00%</c:formatCode>
                <c:ptCount val="6"/>
                <c:pt idx="0">
                  <c:v>0.68603098290598297</c:v>
                </c:pt>
                <c:pt idx="1">
                  <c:v>0.67671130952380965</c:v>
                </c:pt>
                <c:pt idx="2">
                  <c:v>0.69163995726495731</c:v>
                </c:pt>
                <c:pt idx="3">
                  <c:v>0.71651785714285721</c:v>
                </c:pt>
                <c:pt idx="4">
                  <c:v>0.68469551282051289</c:v>
                </c:pt>
                <c:pt idx="5">
                  <c:v>0.65662202380952406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A1-48B0-BBBD-C9079697CB39}"/>
            </c:ext>
          </c:extLst>
        </c:ser>
        <c:ser>
          <c:idx val="1"/>
          <c:order val="1"/>
          <c:tx>
            <c:strRef>
              <c:f>eger_tanterem!$CM$327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eger_tanterem!$CN$325:$CS$325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eger_tanterem!$CN$327:$CS$327</c:f>
              <c:numCache>
                <c:formatCode>0.00%</c:formatCode>
                <c:ptCount val="6"/>
                <c:pt idx="0">
                  <c:v>0.88782051282051233</c:v>
                </c:pt>
                <c:pt idx="1">
                  <c:v>0.87499999999999989</c:v>
                </c:pt>
                <c:pt idx="2">
                  <c:v>0.89957264957264937</c:v>
                </c:pt>
                <c:pt idx="3">
                  <c:v>0.88492063492063477</c:v>
                </c:pt>
                <c:pt idx="4">
                  <c:v>0.90277777777777757</c:v>
                </c:pt>
                <c:pt idx="5">
                  <c:v>0.86210317460317432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A1-48B0-BBBD-C9079697CB3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1408415"/>
        <c:axId val="221414239"/>
      </c:barChart>
      <c:catAx>
        <c:axId val="221408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1414239"/>
        <c:crosses val="autoZero"/>
        <c:auto val="1"/>
        <c:lblAlgn val="ctr"/>
        <c:lblOffset val="100"/>
        <c:noMultiLvlLbl val="0"/>
      </c:catAx>
      <c:valAx>
        <c:axId val="2214142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1408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400"/>
              <a:t>Érsekkerti épület átlagos és maximális óraszáma 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eger!$CV$326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eger!$CW$325:$DB$325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eger!$CW$326:$DB$326</c:f>
              <c:numCache>
                <c:formatCode>0.00</c:formatCode>
                <c:ptCount val="6"/>
                <c:pt idx="0">
                  <c:v>49.394230769230766</c:v>
                </c:pt>
                <c:pt idx="1">
                  <c:v>48.723214285714292</c:v>
                </c:pt>
                <c:pt idx="2">
                  <c:v>49.79807692307692</c:v>
                </c:pt>
                <c:pt idx="3">
                  <c:v>51.589285714285722</c:v>
                </c:pt>
                <c:pt idx="4">
                  <c:v>49.298076923076927</c:v>
                </c:pt>
                <c:pt idx="5">
                  <c:v>47.276785714285722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2D-48A7-AD06-8497EDEAA1F1}"/>
            </c:ext>
          </c:extLst>
        </c:ser>
        <c:ser>
          <c:idx val="1"/>
          <c:order val="1"/>
          <c:tx>
            <c:strRef>
              <c:f>eger!$CV$327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eger!$CW$325:$DB$325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eger!$CW$327:$DB$327</c:f>
              <c:numCache>
                <c:formatCode>0.00</c:formatCode>
                <c:ptCount val="6"/>
                <c:pt idx="0">
                  <c:v>57.230769230769226</c:v>
                </c:pt>
                <c:pt idx="1">
                  <c:v>55.714285714285722</c:v>
                </c:pt>
                <c:pt idx="2">
                  <c:v>62.384615384615373</c:v>
                </c:pt>
                <c:pt idx="3">
                  <c:v>61.857142857142847</c:v>
                </c:pt>
                <c:pt idx="4">
                  <c:v>60.769230769230759</c:v>
                </c:pt>
                <c:pt idx="5">
                  <c:v>52.285714285714278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2D-48A7-AD06-8497EDEAA1F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60762063"/>
        <c:axId val="351970447"/>
      </c:barChart>
      <c:catAx>
        <c:axId val="3607620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1970447"/>
        <c:crosses val="autoZero"/>
        <c:auto val="1"/>
        <c:lblAlgn val="ctr"/>
        <c:lblOffset val="100"/>
        <c:noMultiLvlLbl val="0"/>
      </c:catAx>
      <c:valAx>
        <c:axId val="35197044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6076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 épület épület oktatótermeinek átlagos és maximális kihasználtsága 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eger_tanterem!$CM$342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3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eger_tanterem!$CN$341:$CS$341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eger_tanterem!$CN$342:$CS$342</c:f>
              <c:numCache>
                <c:formatCode>0.00%</c:formatCode>
                <c:ptCount val="6"/>
                <c:pt idx="0">
                  <c:v>0.26668310322156474</c:v>
                </c:pt>
                <c:pt idx="1">
                  <c:v>0.25091575091575097</c:v>
                </c:pt>
                <c:pt idx="2">
                  <c:v>0.3266765285996055</c:v>
                </c:pt>
                <c:pt idx="3">
                  <c:v>0.29075091575091577</c:v>
                </c:pt>
                <c:pt idx="4">
                  <c:v>0.31476002629848776</c:v>
                </c:pt>
                <c:pt idx="5">
                  <c:v>0.32623626373626374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A1-4816-93A9-5CFC93A3F4EB}"/>
            </c:ext>
          </c:extLst>
        </c:ser>
        <c:ser>
          <c:idx val="1"/>
          <c:order val="1"/>
          <c:tx>
            <c:strRef>
              <c:f>eger_tanterem!$CM$343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eger_tanterem!$CN$341:$CS$341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eger_tanterem!$CN$343:$CS$343</c:f>
              <c:numCache>
                <c:formatCode>0.00%</c:formatCode>
                <c:ptCount val="6"/>
                <c:pt idx="0">
                  <c:v>0.71688034188034189</c:v>
                </c:pt>
                <c:pt idx="1">
                  <c:v>0.83730158730158732</c:v>
                </c:pt>
                <c:pt idx="2">
                  <c:v>0.88461538461538425</c:v>
                </c:pt>
                <c:pt idx="3">
                  <c:v>0.77976190476190477</c:v>
                </c:pt>
                <c:pt idx="4">
                  <c:v>0.8899572649572649</c:v>
                </c:pt>
                <c:pt idx="5">
                  <c:v>0.82936507936507908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A1-4816-93A9-5CFC93A3F4E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1965871"/>
        <c:axId val="351966703"/>
      </c:barChart>
      <c:catAx>
        <c:axId val="3519658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1966703"/>
        <c:crosses val="autoZero"/>
        <c:auto val="1"/>
        <c:lblAlgn val="ctr"/>
        <c:lblOffset val="100"/>
        <c:noMultiLvlLbl val="0"/>
      </c:catAx>
      <c:valAx>
        <c:axId val="35196670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1965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 épület átlagos és maximális óraszámai</a:t>
            </a:r>
            <a:br>
              <a:rPr lang="hu-HU"/>
            </a:br>
            <a:r>
              <a:rPr lang="hu-HU"/>
              <a:t>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eger!$CV$342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eger!$CW$341:$DB$341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eger!$CW$342:$DB$342</c:f>
              <c:numCache>
                <c:formatCode>0.00</c:formatCode>
                <c:ptCount val="6"/>
                <c:pt idx="0">
                  <c:v>19.201183431952664</c:v>
                </c:pt>
                <c:pt idx="1">
                  <c:v>18.065934065934069</c:v>
                </c:pt>
                <c:pt idx="2">
                  <c:v>23.520710059171599</c:v>
                </c:pt>
                <c:pt idx="3">
                  <c:v>20.934065934065934</c:v>
                </c:pt>
                <c:pt idx="4">
                  <c:v>24.551282051282055</c:v>
                </c:pt>
                <c:pt idx="5">
                  <c:v>25.446428571428569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5-4CCE-B7A8-DD1A232DEA52}"/>
            </c:ext>
          </c:extLst>
        </c:ser>
        <c:ser>
          <c:idx val="1"/>
          <c:order val="1"/>
          <c:tx>
            <c:strRef>
              <c:f>eger!$CV$343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eger!$CW$341:$DB$341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eger!$CW$343:$DB$343</c:f>
              <c:numCache>
                <c:formatCode>0.00</c:formatCode>
                <c:ptCount val="6"/>
                <c:pt idx="0">
                  <c:v>38.153846153846168</c:v>
                </c:pt>
                <c:pt idx="1">
                  <c:v>43.142857142857153</c:v>
                </c:pt>
                <c:pt idx="2">
                  <c:v>60.692307692307672</c:v>
                </c:pt>
                <c:pt idx="3">
                  <c:v>40.571428571428569</c:v>
                </c:pt>
                <c:pt idx="4">
                  <c:v>51.999999999999986</c:v>
                </c:pt>
                <c:pt idx="5">
                  <c:v>53.714285714285701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5-4CCE-B7A8-DD1A232DEA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51966287"/>
        <c:axId val="351967951"/>
      </c:barChart>
      <c:catAx>
        <c:axId val="351966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1967951"/>
        <c:crosses val="autoZero"/>
        <c:auto val="1"/>
        <c:lblAlgn val="ctr"/>
        <c:lblOffset val="100"/>
        <c:noMultiLvlLbl val="0"/>
      </c:catAx>
      <c:valAx>
        <c:axId val="35196795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519662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Épületenkénti kihasználtság, Eger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eger_tanterem!$CM$347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eger_tanterem!$CN$346:$CT$346</c:f>
              <c:strCache>
                <c:ptCount val="7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F ép</c:v>
                </c:pt>
              </c:strCache>
            </c:strRef>
          </c:cat>
          <c:val>
            <c:numRef>
              <c:f>eger_tanterem!$CN$347:$CT$347</c:f>
              <c:numCache>
                <c:formatCode>0.00%</c:formatCode>
                <c:ptCount val="7"/>
                <c:pt idx="0">
                  <c:v>0.71137256463343412</c:v>
                </c:pt>
                <c:pt idx="1">
                  <c:v>0.68536960724460749</c:v>
                </c:pt>
                <c:pt idx="2">
                  <c:v>0.50309489892823223</c:v>
                </c:pt>
                <c:pt idx="3">
                  <c:v>0.46622298267035123</c:v>
                </c:pt>
                <c:pt idx="4">
                  <c:v>0.44117254273504286</c:v>
                </c:pt>
                <c:pt idx="5">
                  <c:v>0.35319629988747642</c:v>
                </c:pt>
                <c:pt idx="6">
                  <c:v>0.29600376475376472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B-4679-BF26-72BF53AE1845}"/>
            </c:ext>
          </c:extLst>
        </c:ser>
        <c:ser>
          <c:idx val="1"/>
          <c:order val="1"/>
          <c:tx>
            <c:strRef>
              <c:f>eger_tanterem!$CM$348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eger_tanterem!$CN$346:$CT$346</c:f>
              <c:strCache>
                <c:ptCount val="7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F ép</c:v>
                </c:pt>
              </c:strCache>
            </c:strRef>
          </c:cat>
          <c:val>
            <c:numRef>
              <c:f>eger_tanterem!$CN$348:$CT$348</c:f>
              <c:numCache>
                <c:formatCode>0.00%</c:formatCode>
                <c:ptCount val="7"/>
                <c:pt idx="0">
                  <c:v>0.92350936100936065</c:v>
                </c:pt>
                <c:pt idx="1">
                  <c:v>0.88536579161579143</c:v>
                </c:pt>
                <c:pt idx="2">
                  <c:v>0.88121947496947473</c:v>
                </c:pt>
                <c:pt idx="3">
                  <c:v>0.84647181522181514</c:v>
                </c:pt>
                <c:pt idx="4">
                  <c:v>0.79363807488807481</c:v>
                </c:pt>
                <c:pt idx="5">
                  <c:v>0.84123168498168477</c:v>
                </c:pt>
                <c:pt idx="6">
                  <c:v>0.82298026048026029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5B-4679-BF26-72BF53AE18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87645583"/>
        <c:axId val="587652655"/>
      </c:barChart>
      <c:catAx>
        <c:axId val="5876455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52655"/>
        <c:crosses val="autoZero"/>
        <c:auto val="1"/>
        <c:lblAlgn val="ctr"/>
        <c:lblOffset val="100"/>
        <c:noMultiLvlLbl val="0"/>
      </c:catAx>
      <c:valAx>
        <c:axId val="587652655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87645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Épületenkénti óraszám, Eger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eger_tanterem!$CM$351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eger_tanterem!$CN$350:$CT$350</c:f>
              <c:strCache>
                <c:ptCount val="7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F ép</c:v>
                </c:pt>
              </c:strCache>
            </c:strRef>
          </c:cat>
          <c:val>
            <c:numRef>
              <c:f>eger_tanterem!$CN$351:$CT$351</c:f>
              <c:numCache>
                <c:formatCode>0.00</c:formatCode>
                <c:ptCount val="7"/>
                <c:pt idx="0">
                  <c:v>51.218824653607264</c:v>
                </c:pt>
                <c:pt idx="1">
                  <c:v>49.346611721611715</c:v>
                </c:pt>
                <c:pt idx="2">
                  <c:v>37.489328020851453</c:v>
                </c:pt>
                <c:pt idx="3">
                  <c:v>34.242928367928371</c:v>
                </c:pt>
                <c:pt idx="4">
                  <c:v>31.764423076923077</c:v>
                </c:pt>
                <c:pt idx="5">
                  <c:v>25.430133591898301</c:v>
                </c:pt>
                <c:pt idx="6">
                  <c:v>21.953267352305815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4C-4AA8-8C23-8E6986A5707A}"/>
            </c:ext>
          </c:extLst>
        </c:ser>
        <c:ser>
          <c:idx val="1"/>
          <c:order val="1"/>
          <c:tx>
            <c:strRef>
              <c:f>eger_tanterem!$CM$352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eger_tanterem!$CN$350:$CT$350</c:f>
              <c:strCache>
                <c:ptCount val="7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F ép</c:v>
                </c:pt>
              </c:strCache>
            </c:strRef>
          </c:cat>
          <c:val>
            <c:numRef>
              <c:f>eger_tanterem!$CN$352:$CT$352</c:f>
              <c:numCache>
                <c:formatCode>0.00</c:formatCode>
                <c:ptCount val="7"/>
                <c:pt idx="0">
                  <c:v>62.13186813186811</c:v>
                </c:pt>
                <c:pt idx="1">
                  <c:v>58.373626373626365</c:v>
                </c:pt>
                <c:pt idx="2">
                  <c:v>60.358058608058592</c:v>
                </c:pt>
                <c:pt idx="3">
                  <c:v>53.827838827838832</c:v>
                </c:pt>
                <c:pt idx="4">
                  <c:v>53.213369963369964</c:v>
                </c:pt>
                <c:pt idx="5">
                  <c:v>50.746336996337014</c:v>
                </c:pt>
                <c:pt idx="6">
                  <c:v>48.045787545787555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4C-4AA8-8C23-8E6986A5707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60975"/>
        <c:axId val="587655983"/>
      </c:barChart>
      <c:catAx>
        <c:axId val="5876609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55983"/>
        <c:crosses val="autoZero"/>
        <c:auto val="1"/>
        <c:lblAlgn val="ctr"/>
        <c:lblOffset val="100"/>
        <c:noMultiLvlLbl val="0"/>
      </c:catAx>
      <c:valAx>
        <c:axId val="58765598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60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sárospataki </a:t>
            </a:r>
            <a:r>
              <a:rPr lang="hu-HU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átlagos és maximális óraszámai 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sárospatak!$CC$44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sárospatak!$CD$43:$CI$43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sárospatak!$CD$44:$CI$44</c:f>
              <c:numCache>
                <c:formatCode>0.00</c:formatCode>
                <c:ptCount val="6"/>
                <c:pt idx="0">
                  <c:v>22.036437246963565</c:v>
                </c:pt>
                <c:pt idx="1">
                  <c:v>19.354299209562367</c:v>
                </c:pt>
                <c:pt idx="2">
                  <c:v>23.193197122078704</c:v>
                </c:pt>
                <c:pt idx="3">
                  <c:v>16.988721804511279</c:v>
                </c:pt>
                <c:pt idx="4">
                  <c:v>22.178137651821867</c:v>
                </c:pt>
                <c:pt idx="5">
                  <c:v>15.890977443609023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3-43B2-8A36-A3BA68BF4261}"/>
            </c:ext>
          </c:extLst>
        </c:ser>
        <c:ser>
          <c:idx val="1"/>
          <c:order val="1"/>
          <c:tx>
            <c:strRef>
              <c:f>sárospatak!$CC$45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sárospatak!$CD$43:$CI$43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sárospatak!$CD$45:$CI$45</c:f>
              <c:numCache>
                <c:formatCode>0.00</c:formatCode>
                <c:ptCount val="6"/>
                <c:pt idx="0">
                  <c:v>38.61538461538462</c:v>
                </c:pt>
                <c:pt idx="1">
                  <c:v>33.142857142857167</c:v>
                </c:pt>
                <c:pt idx="2">
                  <c:v>46.769230769230788</c:v>
                </c:pt>
                <c:pt idx="3">
                  <c:v>45.571428571428584</c:v>
                </c:pt>
                <c:pt idx="4">
                  <c:v>39.538461538461547</c:v>
                </c:pt>
                <c:pt idx="5">
                  <c:v>31.857142857142861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93-43B2-8A36-A3BA68BF426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14661727"/>
        <c:axId val="414653407"/>
      </c:barChart>
      <c:catAx>
        <c:axId val="4146617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4653407"/>
        <c:crosses val="autoZero"/>
        <c:auto val="1"/>
        <c:lblAlgn val="ctr"/>
        <c:lblOffset val="100"/>
        <c:noMultiLvlLbl val="0"/>
      </c:catAx>
      <c:valAx>
        <c:axId val="41465340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4661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Az Egri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oktatótermeinek átlagos és maximális kihasználtsága 2015-2018 között</a:t>
            </a:r>
          </a:p>
        </c:rich>
      </c:tx>
      <c:layout>
        <c:manualLayout>
          <c:xMode val="edge"/>
          <c:yMode val="edge"/>
          <c:x val="0.1226041119860017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eger_tanterem!$CM$211</c:f>
              <c:strCache>
                <c:ptCount val="1"/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eger_tanterem!$CN$211:$CS$211</c:f>
            </c:numRef>
          </c:val>
          <c:extLst>
            <c:ext xmlns:c16="http://schemas.microsoft.com/office/drawing/2014/chart" uri="{C3380CC4-5D6E-409C-BE32-E72D297353CC}">
              <c16:uniqueId val="{00000000-2B4E-4DA2-AD75-A86545E3F034}"/>
            </c:ext>
          </c:extLst>
        </c:ser>
        <c:ser>
          <c:idx val="1"/>
          <c:order val="1"/>
          <c:tx>
            <c:strRef>
              <c:f>eger_tanterem!$CM$212</c:f>
              <c:strCache>
                <c:ptCount val="1"/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eger_tanterem!$CN$212:$CS$212</c:f>
            </c:numRef>
          </c:val>
          <c:extLst>
            <c:ext xmlns:c16="http://schemas.microsoft.com/office/drawing/2014/chart" uri="{C3380CC4-5D6E-409C-BE32-E72D297353CC}">
              <c16:uniqueId val="{00000001-2B4E-4DA2-AD75-A86545E3F034}"/>
            </c:ext>
          </c:extLst>
        </c:ser>
        <c:ser>
          <c:idx val="2"/>
          <c:order val="2"/>
          <c:tx>
            <c:strRef>
              <c:f>eger_tanterem!$CM$213</c:f>
              <c:strCache>
                <c:ptCount val="1"/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eger_tanterem!$CN$213:$CS$213</c:f>
            </c:numRef>
          </c:val>
          <c:extLst>
            <c:ext xmlns:c16="http://schemas.microsoft.com/office/drawing/2014/chart" uri="{C3380CC4-5D6E-409C-BE32-E72D297353CC}">
              <c16:uniqueId val="{00000002-2B4E-4DA2-AD75-A86545E3F034}"/>
            </c:ext>
          </c:extLst>
        </c:ser>
        <c:ser>
          <c:idx val="3"/>
          <c:order val="3"/>
          <c:tx>
            <c:strRef>
              <c:f>eger_tanterem!$CM$214</c:f>
              <c:strCache>
                <c:ptCount val="1"/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eger_tanterem!$CN$214:$CS$214</c:f>
            </c:numRef>
          </c:val>
          <c:extLst>
            <c:ext xmlns:c16="http://schemas.microsoft.com/office/drawing/2014/chart" uri="{C3380CC4-5D6E-409C-BE32-E72D297353CC}">
              <c16:uniqueId val="{00000003-2B4E-4DA2-AD75-A86545E3F034}"/>
            </c:ext>
          </c:extLst>
        </c:ser>
        <c:ser>
          <c:idx val="4"/>
          <c:order val="4"/>
          <c:tx>
            <c:strRef>
              <c:f>eger_tanterem!$CM$215</c:f>
              <c:strCache>
                <c:ptCount val="1"/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eger_tanterem!$CN$215:$CS$215</c:f>
            </c:numRef>
          </c:val>
          <c:extLst>
            <c:ext xmlns:c16="http://schemas.microsoft.com/office/drawing/2014/chart" uri="{C3380CC4-5D6E-409C-BE32-E72D297353CC}">
              <c16:uniqueId val="{00000004-2B4E-4DA2-AD75-A86545E3F034}"/>
            </c:ext>
          </c:extLst>
        </c:ser>
        <c:ser>
          <c:idx val="5"/>
          <c:order val="5"/>
          <c:tx>
            <c:strRef>
              <c:f>eger_tanterem!$CM$216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eger_tanterem!$CN$216:$CS$216</c:f>
              <c:numCache>
                <c:formatCode>0.00%</c:formatCode>
                <c:ptCount val="6"/>
                <c:pt idx="0">
                  <c:v>0.52305657305657294</c:v>
                </c:pt>
                <c:pt idx="1">
                  <c:v>0.49203829680020161</c:v>
                </c:pt>
                <c:pt idx="2">
                  <c:v>0.51109076109076124</c:v>
                </c:pt>
                <c:pt idx="3">
                  <c:v>0.4882558578987149</c:v>
                </c:pt>
                <c:pt idx="4">
                  <c:v>0.50700040700040705</c:v>
                </c:pt>
                <c:pt idx="5">
                  <c:v>0.47224111866969021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4E-4DA2-AD75-A86545E3F034}"/>
            </c:ext>
          </c:extLst>
        </c:ser>
        <c:ser>
          <c:idx val="6"/>
          <c:order val="6"/>
          <c:tx>
            <c:strRef>
              <c:f>eger_tanterem!$CM$217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eger_tanterem!$CN$210:$CS$210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eger_tanterem!$CN$217:$CS$217</c:f>
              <c:numCache>
                <c:formatCode>0.00%</c:formatCode>
                <c:ptCount val="6"/>
                <c:pt idx="0">
                  <c:v>1.0267094017094009</c:v>
                </c:pt>
                <c:pt idx="1">
                  <c:v>1.0198412698412695</c:v>
                </c:pt>
                <c:pt idx="2">
                  <c:v>0.99572649572649519</c:v>
                </c:pt>
                <c:pt idx="3">
                  <c:v>0.93055555555555547</c:v>
                </c:pt>
                <c:pt idx="4">
                  <c:v>1.0341880341880338</c:v>
                </c:pt>
                <c:pt idx="5">
                  <c:v>0.95238095238095211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4E-4DA2-AD75-A86545E3F03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8243568"/>
        <c:axId val="118251888"/>
      </c:barChart>
      <c:catAx>
        <c:axId val="11824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8251888"/>
        <c:crosses val="autoZero"/>
        <c:auto val="1"/>
        <c:lblAlgn val="ctr"/>
        <c:lblOffset val="100"/>
        <c:noMultiLvlLbl val="0"/>
      </c:catAx>
      <c:valAx>
        <c:axId val="1182518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1824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sárospataki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termeinek átlagos és maximális kihasználtsága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sárospatak_tanterem!$CC$38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sárospatak_tanterem!$CD$37:$CI$37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sárospatak_tanterem!$CD$38:$CI$38</c:f>
              <c:numCache>
                <c:formatCode>0.00%</c:formatCode>
                <c:ptCount val="6"/>
                <c:pt idx="0">
                  <c:v>0.28660593792172745</c:v>
                </c:pt>
                <c:pt idx="1">
                  <c:v>0.2370114656298867</c:v>
                </c:pt>
                <c:pt idx="2">
                  <c:v>0.28529687860736841</c:v>
                </c:pt>
                <c:pt idx="3">
                  <c:v>0.21360693400167086</c:v>
                </c:pt>
                <c:pt idx="4">
                  <c:v>0.26709401709401714</c:v>
                </c:pt>
                <c:pt idx="5">
                  <c:v>0.18509816207184629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4-4CAD-B5C9-713568382544}"/>
            </c:ext>
          </c:extLst>
        </c:ser>
        <c:ser>
          <c:idx val="1"/>
          <c:order val="1"/>
          <c:tx>
            <c:strRef>
              <c:f>sárospatak_tanterem!$CC$39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sárospatak_tanterem!$CD$37:$CI$37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sárospatak_tanterem!$CD$39:$CI$39</c:f>
              <c:numCache>
                <c:formatCode>0.00%</c:formatCode>
                <c:ptCount val="6"/>
                <c:pt idx="0">
                  <c:v>0.68910256410256421</c:v>
                </c:pt>
                <c:pt idx="1">
                  <c:v>0.60317460317460347</c:v>
                </c:pt>
                <c:pt idx="2">
                  <c:v>0.79487179487179505</c:v>
                </c:pt>
                <c:pt idx="3">
                  <c:v>0.67162698412698418</c:v>
                </c:pt>
                <c:pt idx="4">
                  <c:v>0.69337606837606869</c:v>
                </c:pt>
                <c:pt idx="5">
                  <c:v>0.56150793650793662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44-4CAD-B5C9-71356838254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4636351"/>
        <c:axId val="414660063"/>
      </c:barChart>
      <c:catAx>
        <c:axId val="4146363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4660063"/>
        <c:crosses val="autoZero"/>
        <c:auto val="1"/>
        <c:lblAlgn val="ctr"/>
        <c:lblOffset val="100"/>
        <c:noMultiLvlLbl val="0"/>
      </c:catAx>
      <c:valAx>
        <c:axId val="41466006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46363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Gyöngyösi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oktatótermeinek átlagos és maximális kihasználtsága 2016-18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gyöngyös_tanterem!$BI$57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gyöngyös_tanterem!$BJ$56:$BO$56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gyöngyös_tanterem!$BJ$57:$BO$57</c:f>
              <c:numCache>
                <c:formatCode>General</c:formatCode>
                <c:ptCount val="6"/>
                <c:pt idx="2" formatCode="0.00%">
                  <c:v>0.3238366571699906</c:v>
                </c:pt>
                <c:pt idx="3" formatCode="0.00%">
                  <c:v>0.27422288359788372</c:v>
                </c:pt>
                <c:pt idx="4" formatCode="0.00%">
                  <c:v>0.36577041785375131</c:v>
                </c:pt>
                <c:pt idx="5" formatCode="0.00%">
                  <c:v>0.28373015873015883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9B-4546-9F26-307E70EA8B20}"/>
            </c:ext>
          </c:extLst>
        </c:ser>
        <c:ser>
          <c:idx val="1"/>
          <c:order val="1"/>
          <c:tx>
            <c:strRef>
              <c:f>gyöngyös_tanterem!$BI$58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gyöngyös_tanterem!$BJ$56:$BO$56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gyöngyös_tanterem!$BJ$58:$BO$58</c:f>
              <c:numCache>
                <c:formatCode>General</c:formatCode>
                <c:ptCount val="6"/>
                <c:pt idx="2" formatCode="0.00%">
                  <c:v>0.86217948717948711</c:v>
                </c:pt>
                <c:pt idx="3" formatCode="0.00%">
                  <c:v>0.80654761904761896</c:v>
                </c:pt>
                <c:pt idx="4" formatCode="0.00%">
                  <c:v>0.82051282051282037</c:v>
                </c:pt>
                <c:pt idx="5" formatCode="0.00%">
                  <c:v>0.68948412698412731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B-4546-9F26-307E70EA8B2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3972063"/>
        <c:axId val="353974975"/>
      </c:barChart>
      <c:catAx>
        <c:axId val="3539720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3974975"/>
        <c:crosses val="autoZero"/>
        <c:auto val="1"/>
        <c:lblAlgn val="ctr"/>
        <c:lblOffset val="100"/>
        <c:noMultiLvlLbl val="0"/>
      </c:catAx>
      <c:valAx>
        <c:axId val="3539749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39720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Gyöngyösi </a:t>
            </a:r>
            <a:r>
              <a:rPr lang="hu-HU"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átlagos és maximális óraszámok (2016-18)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gyöngyös!$BI$63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gyöngyös!$BJ$62:$BO$62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gyöngyös!$BJ$63:$BO$63</c:f>
              <c:numCache>
                <c:formatCode>General</c:formatCode>
                <c:ptCount val="6"/>
                <c:pt idx="2" formatCode="0.00">
                  <c:v>24.222222222222232</c:v>
                </c:pt>
                <c:pt idx="3" formatCode="0.00">
                  <c:v>19.744047619047628</c:v>
                </c:pt>
                <c:pt idx="4" formatCode="0.00">
                  <c:v>27.500000000000007</c:v>
                </c:pt>
                <c:pt idx="5" formatCode="0.00">
                  <c:v>21.817460317460323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5-4E70-8A2E-B40C956080CB}"/>
            </c:ext>
          </c:extLst>
        </c:ser>
        <c:ser>
          <c:idx val="1"/>
          <c:order val="1"/>
          <c:tx>
            <c:strRef>
              <c:f>gyöngyös!$BI$64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gyöngyös!$BJ$62:$BO$62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gyöngyös!$BJ$64:$BO$64</c:f>
              <c:numCache>
                <c:formatCode>General</c:formatCode>
                <c:ptCount val="6"/>
                <c:pt idx="2" formatCode="0.00">
                  <c:v>52.846153846153854</c:v>
                </c:pt>
                <c:pt idx="3" formatCode="0.00">
                  <c:v>40.071428571428569</c:v>
                </c:pt>
                <c:pt idx="4" formatCode="0.00">
                  <c:v>43.692307692307693</c:v>
                </c:pt>
                <c:pt idx="5" formatCode="0.00">
                  <c:v>44.928571428571445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5-4E70-8A2E-B40C956080C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95753903"/>
        <c:axId val="295750575"/>
      </c:barChart>
      <c:catAx>
        <c:axId val="295753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5750575"/>
        <c:crosses val="autoZero"/>
        <c:auto val="1"/>
        <c:lblAlgn val="ctr"/>
        <c:lblOffset val="100"/>
        <c:noMultiLvlLbl val="0"/>
      </c:catAx>
      <c:valAx>
        <c:axId val="29575057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95753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Jászberényi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 oktatótemeinek átlagos és maximális kihasználtsága 2016-18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jberény_tanterem!$BA$43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jberény_tanterem!$BB$42:$BG$42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jberény_tanterem!$BB$43:$BG$43</c:f>
              <c:numCache>
                <c:formatCode>General</c:formatCode>
                <c:ptCount val="6"/>
                <c:pt idx="2" formatCode="0.00%">
                  <c:v>0.25719748088169136</c:v>
                </c:pt>
                <c:pt idx="3" formatCode="0.00%">
                  <c:v>0.23491019214703426</c:v>
                </c:pt>
                <c:pt idx="4" formatCode="0.00%">
                  <c:v>0.27997076023391804</c:v>
                </c:pt>
                <c:pt idx="5" formatCode="0.00%">
                  <c:v>0.25014756093131379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E-4687-BC3C-FACBF3B89365}"/>
            </c:ext>
          </c:extLst>
        </c:ser>
        <c:ser>
          <c:idx val="1"/>
          <c:order val="1"/>
          <c:tx>
            <c:strRef>
              <c:f>jberény_tanterem!$BA$44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jberény_tanterem!$BB$42:$BG$42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jberény_tanterem!$BB$44:$BG$44</c:f>
              <c:numCache>
                <c:formatCode>General</c:formatCode>
                <c:ptCount val="6"/>
                <c:pt idx="2" formatCode="0.00%">
                  <c:v>0.72542735042735051</c:v>
                </c:pt>
                <c:pt idx="3" formatCode="0.00%">
                  <c:v>0.61607142857142894</c:v>
                </c:pt>
                <c:pt idx="4" formatCode="0.00%">
                  <c:v>0.64316239316239321</c:v>
                </c:pt>
                <c:pt idx="5" formatCode="0.00%">
                  <c:v>0.58035714285714302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CE-4687-BC3C-FACBF3B8936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4637183"/>
        <c:axId val="414637599"/>
      </c:barChart>
      <c:catAx>
        <c:axId val="4146371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4637599"/>
        <c:crosses val="autoZero"/>
        <c:auto val="1"/>
        <c:lblAlgn val="ctr"/>
        <c:lblOffset val="100"/>
        <c:noMultiLvlLbl val="0"/>
      </c:catAx>
      <c:valAx>
        <c:axId val="41463759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463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Jászberény óraszámok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jászberény!$BA$49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jászberény!$BB$48:$BG$48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jászberény!$BB$49:$BG$49</c:f>
              <c:numCache>
                <c:formatCode>General</c:formatCode>
                <c:ptCount val="6"/>
                <c:pt idx="2" formatCode="0.00">
                  <c:v>18.599190283400812</c:v>
                </c:pt>
                <c:pt idx="3" formatCode="0.00">
                  <c:v>18.484962406015036</c:v>
                </c:pt>
                <c:pt idx="4" formatCode="0.00">
                  <c:v>23.570850202429153</c:v>
                </c:pt>
                <c:pt idx="5" formatCode="0.00">
                  <c:v>17.300751879699252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7-47F4-AB7B-9D6EE549D667}"/>
            </c:ext>
          </c:extLst>
        </c:ser>
        <c:ser>
          <c:idx val="1"/>
          <c:order val="1"/>
          <c:tx>
            <c:strRef>
              <c:f>jászberény!$BA$50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jászberény!$BB$48:$BG$48</c:f>
              <c:strCache>
                <c:ptCount val="6"/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jászberény!$BB$50:$BG$50</c:f>
              <c:numCache>
                <c:formatCode>General</c:formatCode>
                <c:ptCount val="6"/>
                <c:pt idx="2" formatCode="0.00">
                  <c:v>50.384615384615387</c:v>
                </c:pt>
                <c:pt idx="3" formatCode="0.00">
                  <c:v>34.357142857142861</c:v>
                </c:pt>
                <c:pt idx="4" formatCode="0.00">
                  <c:v>32.769230769230766</c:v>
                </c:pt>
                <c:pt idx="5" formatCode="0.00">
                  <c:v>31.785714285714288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C7-47F4-AB7B-9D6EE549D66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14642591"/>
        <c:axId val="414654655"/>
      </c:barChart>
      <c:catAx>
        <c:axId val="4146425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4654655"/>
        <c:crosses val="autoZero"/>
        <c:auto val="1"/>
        <c:lblAlgn val="ctr"/>
        <c:lblOffset val="100"/>
        <c:noMultiLvlLbl val="0"/>
      </c:catAx>
      <c:valAx>
        <c:axId val="41465465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4642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Oktatási termek kihasználtsága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onként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összesítő!$B$35</c:f>
              <c:strCache>
                <c:ptCount val="1"/>
                <c:pt idx="0">
                  <c:v>Eger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összesítő!$A$36:$A$37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összesítő!$B$36:$B$37</c:f>
              <c:numCache>
                <c:formatCode>0.00%</c:formatCode>
                <c:ptCount val="2"/>
                <c:pt idx="0">
                  <c:v>0.49894716908605802</c:v>
                </c:pt>
                <c:pt idx="1">
                  <c:v>0.993233618233618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0-4704-A95F-8B2F4127CF1F}"/>
            </c:ext>
          </c:extLst>
        </c:ser>
        <c:ser>
          <c:idx val="1"/>
          <c:order val="1"/>
          <c:tx>
            <c:strRef>
              <c:f>összesítő!$C$35</c:f>
              <c:strCache>
                <c:ptCount val="1"/>
                <c:pt idx="0">
                  <c:v>Sárospatak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összesítő!$A$36:$A$37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összesítő!$C$36:$C$37</c:f>
              <c:numCache>
                <c:formatCode>0.00%</c:formatCode>
                <c:ptCount val="2"/>
                <c:pt idx="0">
                  <c:v>0.2457855658877528</c:v>
                </c:pt>
                <c:pt idx="1">
                  <c:v>0.66894332519332533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B0-4704-A95F-8B2F4127CF1F}"/>
            </c:ext>
          </c:extLst>
        </c:ser>
        <c:ser>
          <c:idx val="2"/>
          <c:order val="2"/>
          <c:tx>
            <c:strRef>
              <c:f>összesítő!$D$35</c:f>
              <c:strCache>
                <c:ptCount val="1"/>
                <c:pt idx="0">
                  <c:v>Gyöngyös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összesítő!$A$36:$A$37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összesítő!$D$36:$D$37</c:f>
              <c:numCache>
                <c:formatCode>0.00%</c:formatCode>
                <c:ptCount val="2"/>
                <c:pt idx="0">
                  <c:v>0.29193959011667353</c:v>
                </c:pt>
                <c:pt idx="1">
                  <c:v>0.75301434676434686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B0-4704-A95F-8B2F4127CF1F}"/>
            </c:ext>
          </c:extLst>
        </c:ser>
        <c:ser>
          <c:idx val="3"/>
          <c:order val="3"/>
          <c:tx>
            <c:strRef>
              <c:f>összesítő!$E$35</c:f>
              <c:strCache>
                <c:ptCount val="1"/>
                <c:pt idx="0">
                  <c:v>Jászberény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összesítő!$A$36:$A$37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összesítő!$E$36:$E$37</c:f>
              <c:numCache>
                <c:formatCode>0.00%</c:formatCode>
                <c:ptCount val="2"/>
                <c:pt idx="0">
                  <c:v>0.25555649854848939</c:v>
                </c:pt>
                <c:pt idx="1">
                  <c:v>0.64125457875457892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B0-4704-A95F-8B2F4127CF1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86694735"/>
        <c:axId val="786703055"/>
      </c:barChart>
      <c:catAx>
        <c:axId val="7866947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6703055"/>
        <c:crosses val="autoZero"/>
        <c:auto val="1"/>
        <c:lblAlgn val="ctr"/>
        <c:lblOffset val="100"/>
        <c:noMultiLvlLbl val="0"/>
      </c:catAx>
      <c:valAx>
        <c:axId val="78670305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6694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Óraszámok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onként (oktatótermek)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összesítő!$H$35</c:f>
              <c:strCache>
                <c:ptCount val="1"/>
                <c:pt idx="0">
                  <c:v>Eger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összesítő!$G$36:$G$37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összesítő!$H$36:$H$37</c:f>
              <c:numCache>
                <c:formatCode>0.00</c:formatCode>
                <c:ptCount val="2"/>
                <c:pt idx="0">
                  <c:v>34.417824355189587</c:v>
                </c:pt>
                <c:pt idx="1">
                  <c:v>64.268315018314993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E5-47CE-A89C-3E3581683BFE}"/>
            </c:ext>
          </c:extLst>
        </c:ser>
        <c:ser>
          <c:idx val="1"/>
          <c:order val="1"/>
          <c:tx>
            <c:strRef>
              <c:f>összesítő!$I$35</c:f>
              <c:strCache>
                <c:ptCount val="1"/>
                <c:pt idx="0">
                  <c:v>Sárospatak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összesítő!$G$36:$G$37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összesítő!$I$36:$I$37</c:f>
              <c:numCache>
                <c:formatCode>0.00</c:formatCode>
                <c:ptCount val="2"/>
                <c:pt idx="0">
                  <c:v>19.940295079757803</c:v>
                </c:pt>
                <c:pt idx="1">
                  <c:v>39.249084249084255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E5-47CE-A89C-3E3581683BFE}"/>
            </c:ext>
          </c:extLst>
        </c:ser>
        <c:ser>
          <c:idx val="2"/>
          <c:order val="2"/>
          <c:tx>
            <c:strRef>
              <c:f>összesítő!$J$35</c:f>
              <c:strCache>
                <c:ptCount val="1"/>
                <c:pt idx="0">
                  <c:v>Gyöngyös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összesítő!$G$36:$G$37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összesítő!$J$36:$J$37</c:f>
              <c:numCache>
                <c:formatCode>0.00</c:formatCode>
                <c:ptCount val="2"/>
                <c:pt idx="0">
                  <c:v>23.320932539682545</c:v>
                </c:pt>
                <c:pt idx="1">
                  <c:v>45.384615384615387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E5-47CE-A89C-3E3581683BFE}"/>
            </c:ext>
          </c:extLst>
        </c:ser>
        <c:ser>
          <c:idx val="3"/>
          <c:order val="3"/>
          <c:tx>
            <c:strRef>
              <c:f>összesítő!$K$35</c:f>
              <c:strCache>
                <c:ptCount val="1"/>
                <c:pt idx="0">
                  <c:v>Jászberény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összesítő!$G$36:$G$37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összesítő!$K$36:$K$37</c:f>
              <c:numCache>
                <c:formatCode>0.00</c:formatCode>
                <c:ptCount val="2"/>
                <c:pt idx="0">
                  <c:v>19.488938692886062</c:v>
                </c:pt>
                <c:pt idx="1">
                  <c:v>37.324175824175825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E5-47CE-A89C-3E3581683BF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86742991"/>
        <c:axId val="786724271"/>
      </c:barChart>
      <c:catAx>
        <c:axId val="786742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6724271"/>
        <c:crosses val="autoZero"/>
        <c:auto val="1"/>
        <c:lblAlgn val="ctr"/>
        <c:lblOffset val="100"/>
        <c:noMultiLvlLbl val="0"/>
      </c:catAx>
      <c:valAx>
        <c:axId val="78672427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786742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Az egyetemi Épületek kihasználtsága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eger_tanterem!$CM$355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eger_tanterem!$CN$354:$CW$354</c:f>
              <c:strCache>
                <c:ptCount val="10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Gyöngyös</c:v>
                </c:pt>
                <c:pt idx="7">
                  <c:v>F ép</c:v>
                </c:pt>
                <c:pt idx="8">
                  <c:v>Jászberény</c:v>
                </c:pt>
                <c:pt idx="9">
                  <c:v>Spatak</c:v>
                </c:pt>
              </c:strCache>
            </c:strRef>
          </c:cat>
          <c:val>
            <c:numRef>
              <c:f>eger_tanterem!$CN$355:$CW$355</c:f>
              <c:numCache>
                <c:formatCode>0.00%</c:formatCode>
                <c:ptCount val="10"/>
                <c:pt idx="0">
                  <c:v>0.71137256463343412</c:v>
                </c:pt>
                <c:pt idx="1">
                  <c:v>0.68536960724460749</c:v>
                </c:pt>
                <c:pt idx="2">
                  <c:v>0.50309489892823223</c:v>
                </c:pt>
                <c:pt idx="3">
                  <c:v>0.46622298267035123</c:v>
                </c:pt>
                <c:pt idx="4">
                  <c:v>0.44117254273504286</c:v>
                </c:pt>
                <c:pt idx="5">
                  <c:v>0.35319629988747642</c:v>
                </c:pt>
                <c:pt idx="6">
                  <c:v>0.31189002933794613</c:v>
                </c:pt>
                <c:pt idx="7">
                  <c:v>0.29600376475376472</c:v>
                </c:pt>
                <c:pt idx="8">
                  <c:v>0.25555649854848939</c:v>
                </c:pt>
                <c:pt idx="9">
                  <c:v>0.24578556588775283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A5-4C6A-8211-6953BB837E9B}"/>
            </c:ext>
          </c:extLst>
        </c:ser>
        <c:ser>
          <c:idx val="1"/>
          <c:order val="1"/>
          <c:tx>
            <c:strRef>
              <c:f>eger_tanterem!$CM$356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eger_tanterem!$CN$354:$CW$354</c:f>
              <c:strCache>
                <c:ptCount val="10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Gyöngyös</c:v>
                </c:pt>
                <c:pt idx="7">
                  <c:v>F ép</c:v>
                </c:pt>
                <c:pt idx="8">
                  <c:v>Jászberény</c:v>
                </c:pt>
                <c:pt idx="9">
                  <c:v>Spatak</c:v>
                </c:pt>
              </c:strCache>
            </c:strRef>
          </c:cat>
          <c:val>
            <c:numRef>
              <c:f>eger_tanterem!$CN$356:$CW$356</c:f>
              <c:numCache>
                <c:formatCode>0.00%</c:formatCode>
                <c:ptCount val="10"/>
                <c:pt idx="0">
                  <c:v>0.92350936100936065</c:v>
                </c:pt>
                <c:pt idx="1">
                  <c:v>0.88536579161579143</c:v>
                </c:pt>
                <c:pt idx="2">
                  <c:v>0.88121947496947473</c:v>
                </c:pt>
                <c:pt idx="3">
                  <c:v>0.84647181522181514</c:v>
                </c:pt>
                <c:pt idx="4">
                  <c:v>0.79363807488807481</c:v>
                </c:pt>
                <c:pt idx="5">
                  <c:v>0.84123168498168477</c:v>
                </c:pt>
                <c:pt idx="6">
                  <c:v>0.79468101343101349</c:v>
                </c:pt>
                <c:pt idx="7">
                  <c:v>0.82298026048026029</c:v>
                </c:pt>
                <c:pt idx="8">
                  <c:v>0.64125457875457892</c:v>
                </c:pt>
                <c:pt idx="9">
                  <c:v>0.66894332519332533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A5-4C6A-8211-6953BB837E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44404543"/>
        <c:axId val="544409951"/>
      </c:barChart>
      <c:catAx>
        <c:axId val="5444045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4409951"/>
        <c:crosses val="autoZero"/>
        <c:auto val="1"/>
        <c:lblAlgn val="ctr"/>
        <c:lblOffset val="100"/>
        <c:noMultiLvlLbl val="0"/>
      </c:catAx>
      <c:valAx>
        <c:axId val="544409951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4440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Egyetemi óraszámok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eger!$CM$353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eger!$CN$352:$CW$352</c:f>
              <c:strCache>
                <c:ptCount val="10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Gyöngyös</c:v>
                </c:pt>
                <c:pt idx="7">
                  <c:v>F ép</c:v>
                </c:pt>
                <c:pt idx="8">
                  <c:v>Spatak</c:v>
                </c:pt>
                <c:pt idx="9">
                  <c:v>Jászberény</c:v>
                </c:pt>
              </c:strCache>
            </c:strRef>
          </c:cat>
          <c:val>
            <c:numRef>
              <c:f>eger!$CN$353:$CW$353</c:f>
              <c:numCache>
                <c:formatCode>0.00</c:formatCode>
                <c:ptCount val="10"/>
                <c:pt idx="0">
                  <c:v>51.218824653607264</c:v>
                </c:pt>
                <c:pt idx="1">
                  <c:v>49.346611721611715</c:v>
                </c:pt>
                <c:pt idx="2">
                  <c:v>37.489328020851453</c:v>
                </c:pt>
                <c:pt idx="3">
                  <c:v>34.242928367928371</c:v>
                </c:pt>
                <c:pt idx="4">
                  <c:v>31.764423076923077</c:v>
                </c:pt>
                <c:pt idx="5">
                  <c:v>25.430133591898301</c:v>
                </c:pt>
                <c:pt idx="6">
                  <c:v>23.320932539682552</c:v>
                </c:pt>
                <c:pt idx="7">
                  <c:v>21.953267352305815</c:v>
                </c:pt>
                <c:pt idx="8">
                  <c:v>19.940295079757799</c:v>
                </c:pt>
                <c:pt idx="9">
                  <c:v>19.488938692886062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C-4AFD-8104-0B3780772919}"/>
            </c:ext>
          </c:extLst>
        </c:ser>
        <c:ser>
          <c:idx val="1"/>
          <c:order val="1"/>
          <c:tx>
            <c:strRef>
              <c:f>eger!$CM$354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eger!$CN$352:$CW$352</c:f>
              <c:strCache>
                <c:ptCount val="10"/>
                <c:pt idx="0">
                  <c:v>B ép</c:v>
                </c:pt>
                <c:pt idx="1">
                  <c:v>Érsekkert</c:v>
                </c:pt>
                <c:pt idx="2">
                  <c:v>A ép</c:v>
                </c:pt>
                <c:pt idx="3">
                  <c:v>C ép</c:v>
                </c:pt>
                <c:pt idx="4">
                  <c:v>D ép</c:v>
                </c:pt>
                <c:pt idx="5">
                  <c:v>E ép</c:v>
                </c:pt>
                <c:pt idx="6">
                  <c:v>Gyöngyös</c:v>
                </c:pt>
                <c:pt idx="7">
                  <c:v>F ép</c:v>
                </c:pt>
                <c:pt idx="8">
                  <c:v>Spatak</c:v>
                </c:pt>
                <c:pt idx="9">
                  <c:v>Jászberény</c:v>
                </c:pt>
              </c:strCache>
            </c:strRef>
          </c:cat>
          <c:val>
            <c:numRef>
              <c:f>eger!$CN$354:$CW$354</c:f>
              <c:numCache>
                <c:formatCode>0.00</c:formatCode>
                <c:ptCount val="10"/>
                <c:pt idx="0">
                  <c:v>62.13186813186811</c:v>
                </c:pt>
                <c:pt idx="1">
                  <c:v>58.373626373626365</c:v>
                </c:pt>
                <c:pt idx="2">
                  <c:v>60.358058608058592</c:v>
                </c:pt>
                <c:pt idx="3">
                  <c:v>53.827838827838832</c:v>
                </c:pt>
                <c:pt idx="4">
                  <c:v>53.213369963369964</c:v>
                </c:pt>
                <c:pt idx="5">
                  <c:v>50.746336996337014</c:v>
                </c:pt>
                <c:pt idx="6">
                  <c:v>45.384615384615387</c:v>
                </c:pt>
                <c:pt idx="7">
                  <c:v>48.045787545787555</c:v>
                </c:pt>
                <c:pt idx="8">
                  <c:v>39.249084249084255</c:v>
                </c:pt>
                <c:pt idx="9">
                  <c:v>37.324175824175825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7C-4AFD-8104-0B378077291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49843359"/>
        <c:axId val="549849599"/>
      </c:barChart>
      <c:catAx>
        <c:axId val="5498433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9849599"/>
        <c:crosses val="autoZero"/>
        <c:auto val="1"/>
        <c:lblAlgn val="ctr"/>
        <c:lblOffset val="100"/>
        <c:noMultiLvlLbl val="0"/>
      </c:catAx>
      <c:valAx>
        <c:axId val="549849599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49843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épület egyéb kihasználtság 2015-18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eger_egyéb!$CP$147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eger_egyéb!$CQ$146:$CV$146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eger_egyéb!$CQ$147:$CV$147</c:f>
              <c:numCache>
                <c:formatCode>0.00%</c:formatCode>
                <c:ptCount val="6"/>
                <c:pt idx="0">
                  <c:v>0.15249497234791351</c:v>
                </c:pt>
                <c:pt idx="1">
                  <c:v>0.13331582633053221</c:v>
                </c:pt>
                <c:pt idx="2">
                  <c:v>0.12745098039215688</c:v>
                </c:pt>
                <c:pt idx="3">
                  <c:v>7.5776143790849654E-2</c:v>
                </c:pt>
                <c:pt idx="4">
                  <c:v>0.13098290598290599</c:v>
                </c:pt>
                <c:pt idx="5">
                  <c:v>0.12470238095238094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30-4BE5-826D-4A6FD7875294}"/>
            </c:ext>
          </c:extLst>
        </c:ser>
        <c:ser>
          <c:idx val="1"/>
          <c:order val="1"/>
          <c:tx>
            <c:strRef>
              <c:f>eger_egyéb!$CP$148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eger_egyéb!$CQ$146:$CV$146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eger_egyéb!$CQ$148:$CV$148</c:f>
              <c:numCache>
                <c:formatCode>0.00%</c:formatCode>
                <c:ptCount val="6"/>
                <c:pt idx="0">
                  <c:v>0.71260683760683763</c:v>
                </c:pt>
                <c:pt idx="1">
                  <c:v>0.70337301587301615</c:v>
                </c:pt>
                <c:pt idx="2">
                  <c:v>0.66452991452991483</c:v>
                </c:pt>
                <c:pt idx="3">
                  <c:v>0.57936507936507931</c:v>
                </c:pt>
                <c:pt idx="4">
                  <c:v>0.62713675213675246</c:v>
                </c:pt>
                <c:pt idx="5">
                  <c:v>0.58630952380952384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30-4BE5-826D-4A6FD78752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5737679"/>
        <c:axId val="355740175"/>
      </c:barChart>
      <c:catAx>
        <c:axId val="355737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40175"/>
        <c:crosses val="autoZero"/>
        <c:auto val="1"/>
        <c:lblAlgn val="ctr"/>
        <c:lblOffset val="100"/>
        <c:noMultiLvlLbl val="0"/>
      </c:catAx>
      <c:valAx>
        <c:axId val="3557401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37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</a:t>
            </a:r>
            <a:r>
              <a:rPr lang="hu-HU"/>
              <a:t>z A épület oktatási termeinek átlagos és maximális kihasználtsága (20105-2018)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eger_tanterem!$CM$232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eger_tanterem!$CN$231:$CS$231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eger_tanterem!$CN$232:$CS$232</c:f>
              <c:numCache>
                <c:formatCode>0.00%</c:formatCode>
                <c:ptCount val="6"/>
                <c:pt idx="0">
                  <c:v>0.5692800788954635</c:v>
                </c:pt>
                <c:pt idx="1">
                  <c:v>0.51185388685388689</c:v>
                </c:pt>
                <c:pt idx="2">
                  <c:v>0.54766600920447073</c:v>
                </c:pt>
                <c:pt idx="3">
                  <c:v>0.52541208791208804</c:v>
                </c:pt>
                <c:pt idx="4">
                  <c:v>0.45890861275476647</c:v>
                </c:pt>
                <c:pt idx="5">
                  <c:v>0.40544871794871795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45-4F39-82B1-F927A4B2F601}"/>
            </c:ext>
          </c:extLst>
        </c:ser>
        <c:ser>
          <c:idx val="1"/>
          <c:order val="1"/>
          <c:tx>
            <c:strRef>
              <c:f>eger_tanterem!$CM$233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eger_tanterem!$CN$231:$CS$231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eger_tanterem!$CN$233:$CS$233</c:f>
              <c:numCache>
                <c:formatCode>0.00%</c:formatCode>
                <c:ptCount val="6"/>
                <c:pt idx="0">
                  <c:v>0.85790598290598263</c:v>
                </c:pt>
                <c:pt idx="1">
                  <c:v>0.85515873015873023</c:v>
                </c:pt>
                <c:pt idx="2">
                  <c:v>0.91559829059829034</c:v>
                </c:pt>
                <c:pt idx="3">
                  <c:v>0.87996031746031733</c:v>
                </c:pt>
                <c:pt idx="4">
                  <c:v>0.90170940170940128</c:v>
                </c:pt>
                <c:pt idx="5">
                  <c:v>0.87698412698412687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5-4F39-82B1-F927A4B2F6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5805088"/>
        <c:axId val="255805504"/>
      </c:barChart>
      <c:catAx>
        <c:axId val="255805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805504"/>
        <c:crosses val="autoZero"/>
        <c:auto val="1"/>
        <c:lblAlgn val="ctr"/>
        <c:lblOffset val="100"/>
        <c:noMultiLvlLbl val="0"/>
      </c:catAx>
      <c:valAx>
        <c:axId val="2558055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80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A épület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eger_egyéb!$CX$147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eger_egyéb!$CY$146:$DD$146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eger_egyéb!$CY$147:$DD$147</c:f>
              <c:numCache>
                <c:formatCode>0.00</c:formatCode>
                <c:ptCount val="6"/>
                <c:pt idx="0">
                  <c:v>10.979638009049776</c:v>
                </c:pt>
                <c:pt idx="1">
                  <c:v>9.5987394957983163</c:v>
                </c:pt>
                <c:pt idx="2">
                  <c:v>9.176470588235297</c:v>
                </c:pt>
                <c:pt idx="3">
                  <c:v>5.4558823529411749</c:v>
                </c:pt>
                <c:pt idx="4">
                  <c:v>9.4307692307692328</c:v>
                </c:pt>
                <c:pt idx="5">
                  <c:v>8.978571428571426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4-4E40-AB8F-60C65C355D37}"/>
            </c:ext>
          </c:extLst>
        </c:ser>
        <c:ser>
          <c:idx val="1"/>
          <c:order val="1"/>
          <c:tx>
            <c:strRef>
              <c:f>eger_egyéb!$CX$148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eger_egyéb!$CY$146:$DD$146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eger_egyéb!$CY$148:$DD$148</c:f>
              <c:numCache>
                <c:formatCode>0.00</c:formatCode>
                <c:ptCount val="6"/>
                <c:pt idx="0">
                  <c:v>47.615384615384627</c:v>
                </c:pt>
                <c:pt idx="1">
                  <c:v>41.214285714285722</c:v>
                </c:pt>
                <c:pt idx="2">
                  <c:v>36.615384615384613</c:v>
                </c:pt>
                <c:pt idx="3">
                  <c:v>26.285714285714292</c:v>
                </c:pt>
                <c:pt idx="4">
                  <c:v>31.461538461538463</c:v>
                </c:pt>
                <c:pt idx="5">
                  <c:v>24.285714285714292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4-4E40-AB8F-60C65C355D3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55718127"/>
        <c:axId val="355725615"/>
      </c:barChart>
      <c:catAx>
        <c:axId val="355718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25615"/>
        <c:crosses val="autoZero"/>
        <c:auto val="1"/>
        <c:lblAlgn val="ctr"/>
        <c:lblOffset val="100"/>
        <c:noMultiLvlLbl val="0"/>
      </c:catAx>
      <c:valAx>
        <c:axId val="35572561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55718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B épület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0.17509150978769164"/>
          <c:y val="0.21991561181434602"/>
          <c:w val="0.71903247943063719"/>
          <c:h val="0.53213285048229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eger_egyéb!$CP$166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eger_egyéb!$CQ$165:$CV$165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eger_egyéb!$CQ$166:$CV$166</c:f>
              <c:numCache>
                <c:formatCode>0.00%</c:formatCode>
                <c:ptCount val="6"/>
                <c:pt idx="0">
                  <c:v>0.1216613247863248</c:v>
                </c:pt>
                <c:pt idx="1">
                  <c:v>9.492807539682542E-2</c:v>
                </c:pt>
                <c:pt idx="2">
                  <c:v>7.752403846153845E-2</c:v>
                </c:pt>
                <c:pt idx="3">
                  <c:v>7.0188492063492078E-2</c:v>
                </c:pt>
                <c:pt idx="4">
                  <c:v>0.12126068376068379</c:v>
                </c:pt>
                <c:pt idx="5">
                  <c:v>0.11228354978354982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8-44C0-B811-74298F4D7AEE}"/>
            </c:ext>
          </c:extLst>
        </c:ser>
        <c:ser>
          <c:idx val="1"/>
          <c:order val="1"/>
          <c:tx>
            <c:strRef>
              <c:f>eger_egyéb!$CP$167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eger_egyéb!$CQ$165:$CV$165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eger_egyéb!$CQ$167:$CV$167</c:f>
              <c:numCache>
                <c:formatCode>0.00%</c:formatCode>
                <c:ptCount val="6"/>
                <c:pt idx="0">
                  <c:v>0.72756410256410231</c:v>
                </c:pt>
                <c:pt idx="1">
                  <c:v>0.64682539682539697</c:v>
                </c:pt>
                <c:pt idx="2">
                  <c:v>0.47970085470085472</c:v>
                </c:pt>
                <c:pt idx="3">
                  <c:v>0.46825396825396853</c:v>
                </c:pt>
                <c:pt idx="4">
                  <c:v>0.50641025641025672</c:v>
                </c:pt>
                <c:pt idx="5">
                  <c:v>0.57142857142857173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28-44C0-B811-74298F4D7A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5719375"/>
        <c:axId val="355719791"/>
      </c:barChart>
      <c:catAx>
        <c:axId val="3557193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19791"/>
        <c:crosses val="autoZero"/>
        <c:auto val="1"/>
        <c:lblAlgn val="ctr"/>
        <c:lblOffset val="100"/>
        <c:noMultiLvlLbl val="0"/>
      </c:catAx>
      <c:valAx>
        <c:axId val="355719791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19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B épület óraszámok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eger_egyéb!$CX$166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eger_egyéb!$CY$165:$DD$165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eger_egyéb!$CY$166:$DD$166</c:f>
              <c:numCache>
                <c:formatCode>0.00</c:formatCode>
                <c:ptCount val="6"/>
                <c:pt idx="0">
                  <c:v>8.759615384615385</c:v>
                </c:pt>
                <c:pt idx="1">
                  <c:v>6.8348214285714297</c:v>
                </c:pt>
                <c:pt idx="2">
                  <c:v>5.5817307692307692</c:v>
                </c:pt>
                <c:pt idx="3">
                  <c:v>5.0535714285714288</c:v>
                </c:pt>
                <c:pt idx="4">
                  <c:v>8.7307692307692317</c:v>
                </c:pt>
                <c:pt idx="5">
                  <c:v>8.0844155844155878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10-4E95-9BEE-5B8683C7E5D0}"/>
            </c:ext>
          </c:extLst>
        </c:ser>
        <c:ser>
          <c:idx val="1"/>
          <c:order val="1"/>
          <c:tx>
            <c:strRef>
              <c:f>eger_egyéb!$CX$167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eger_egyéb!$CY$165:$DD$165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eger_egyéb!$CY$167:$DD$167</c:f>
              <c:numCache>
                <c:formatCode>0.00</c:formatCode>
                <c:ptCount val="6"/>
                <c:pt idx="0">
                  <c:v>47.692307692307672</c:v>
                </c:pt>
                <c:pt idx="1">
                  <c:v>44.428571428571438</c:v>
                </c:pt>
                <c:pt idx="2">
                  <c:v>29.53846153846154</c:v>
                </c:pt>
                <c:pt idx="3">
                  <c:v>31.714285714285726</c:v>
                </c:pt>
                <c:pt idx="4">
                  <c:v>33.538461538461554</c:v>
                </c:pt>
                <c:pt idx="5">
                  <c:v>40.571428571428605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10-4E95-9BEE-5B8683C7E5D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58895"/>
        <c:axId val="587657647"/>
      </c:barChart>
      <c:catAx>
        <c:axId val="587658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57647"/>
        <c:crosses val="autoZero"/>
        <c:auto val="1"/>
        <c:lblAlgn val="ctr"/>
        <c:lblOffset val="100"/>
        <c:noMultiLvlLbl val="0"/>
      </c:catAx>
      <c:valAx>
        <c:axId val="58765764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58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C épület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eger_egyéb!$CP$186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eger_egyéb!$CQ$185:$CV$185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eger_egyéb!$CQ$186:$CV$186</c:f>
              <c:numCache>
                <c:formatCode>0.00%</c:formatCode>
                <c:ptCount val="6"/>
                <c:pt idx="0">
                  <c:v>9.259259259259257E-3</c:v>
                </c:pt>
                <c:pt idx="1">
                  <c:v>6.6137566137566143E-3</c:v>
                </c:pt>
                <c:pt idx="2">
                  <c:v>2.5641025641025637E-2</c:v>
                </c:pt>
                <c:pt idx="3">
                  <c:v>6.6137566137566143E-3</c:v>
                </c:pt>
                <c:pt idx="4">
                  <c:v>8.6894586894586887E-2</c:v>
                </c:pt>
                <c:pt idx="5">
                  <c:v>7.3412698412698402E-2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BF-495B-8811-F189997BAE86}"/>
            </c:ext>
          </c:extLst>
        </c:ser>
        <c:ser>
          <c:idx val="1"/>
          <c:order val="1"/>
          <c:tx>
            <c:strRef>
              <c:f>eger_egyéb!$CP$187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eger_egyéb!$CQ$185:$CV$185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eger_egyéb!$CQ$187:$CV$187</c:f>
              <c:numCache>
                <c:formatCode>0.00%</c:formatCode>
                <c:ptCount val="6"/>
                <c:pt idx="0">
                  <c:v>2.7777777777777773E-2</c:v>
                </c:pt>
                <c:pt idx="1">
                  <c:v>1.9841269841269844E-2</c:v>
                </c:pt>
                <c:pt idx="2">
                  <c:v>7.6923076923076913E-2</c:v>
                </c:pt>
                <c:pt idx="3">
                  <c:v>1.9841269841269844E-2</c:v>
                </c:pt>
                <c:pt idx="4">
                  <c:v>0.2414529914529914</c:v>
                </c:pt>
                <c:pt idx="5">
                  <c:v>0.1468253968253968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BF-495B-8811-F189997BAE8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87656815"/>
        <c:axId val="587645167"/>
      </c:barChart>
      <c:catAx>
        <c:axId val="5876568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45167"/>
        <c:crosses val="autoZero"/>
        <c:auto val="1"/>
        <c:lblAlgn val="ctr"/>
        <c:lblOffset val="100"/>
        <c:noMultiLvlLbl val="0"/>
      </c:catAx>
      <c:valAx>
        <c:axId val="587645167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56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C épület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eger_egyéb!$CX$186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eger_egyéb!$CY$185:$DD$185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eger_egyéb!$CY$186:$DD$186</c:f>
              <c:numCache>
                <c:formatCode>0.00</c:formatCode>
                <c:ptCount val="6"/>
                <c:pt idx="0">
                  <c:v>0.66666666666666652</c:v>
                </c:pt>
                <c:pt idx="1">
                  <c:v>0.47619047619047622</c:v>
                </c:pt>
                <c:pt idx="2">
                  <c:v>1.846153846153846</c:v>
                </c:pt>
                <c:pt idx="3">
                  <c:v>0.47619047619047622</c:v>
                </c:pt>
                <c:pt idx="4">
                  <c:v>6.2564102564102564</c:v>
                </c:pt>
                <c:pt idx="5">
                  <c:v>5.2857142857142847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C-41D8-A7B3-17DBDAD0C3F7}"/>
            </c:ext>
          </c:extLst>
        </c:ser>
        <c:ser>
          <c:idx val="1"/>
          <c:order val="1"/>
          <c:tx>
            <c:strRef>
              <c:f>eger_egyéb!$CX$187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eger_egyéb!$CY$185:$DD$185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eger_egyéb!$CY$187:$DD$187</c:f>
              <c:numCache>
                <c:formatCode>0.00</c:formatCode>
                <c:ptCount val="6"/>
                <c:pt idx="0">
                  <c:v>1.9999999999999996</c:v>
                </c:pt>
                <c:pt idx="1">
                  <c:v>1.4285714285714286</c:v>
                </c:pt>
                <c:pt idx="2">
                  <c:v>5.5384615384615383</c:v>
                </c:pt>
                <c:pt idx="3">
                  <c:v>1.4285714285714286</c:v>
                </c:pt>
                <c:pt idx="4">
                  <c:v>17.384615384615383</c:v>
                </c:pt>
                <c:pt idx="5">
                  <c:v>10.571428571428569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7C-41D8-A7B3-17DBDAD0C3F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36847"/>
        <c:axId val="587639759"/>
      </c:barChart>
      <c:catAx>
        <c:axId val="5876368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39759"/>
        <c:crosses val="autoZero"/>
        <c:auto val="1"/>
        <c:lblAlgn val="ctr"/>
        <c:lblOffset val="100"/>
        <c:noMultiLvlLbl val="0"/>
      </c:catAx>
      <c:valAx>
        <c:axId val="587639759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36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D épület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eger_egyéb!$CP$203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eger_egyéb!$CQ$202:$CV$202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eger_egyéb!$CQ$203:$CV$203</c:f>
              <c:numCache>
                <c:formatCode>0.00%</c:formatCode>
                <c:ptCount val="6"/>
                <c:pt idx="0">
                  <c:v>0.10668498168498169</c:v>
                </c:pt>
                <c:pt idx="1">
                  <c:v>8.9781746031746004E-2</c:v>
                </c:pt>
                <c:pt idx="2">
                  <c:v>5.7921245421245417E-2</c:v>
                </c:pt>
                <c:pt idx="3">
                  <c:v>6.1933106575963702E-2</c:v>
                </c:pt>
                <c:pt idx="4">
                  <c:v>0.10693473193473192</c:v>
                </c:pt>
                <c:pt idx="5">
                  <c:v>0.14222582972582976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9D-4B8A-8D7D-D69249D574B0}"/>
            </c:ext>
          </c:extLst>
        </c:ser>
        <c:ser>
          <c:idx val="1"/>
          <c:order val="1"/>
          <c:tx>
            <c:strRef>
              <c:f>eger_egyéb!$CP$204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eger_egyéb!$CQ$202:$CV$202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eger_egyéb!$CQ$204:$CV$204</c:f>
              <c:numCache>
                <c:formatCode>0.00%</c:formatCode>
                <c:ptCount val="6"/>
                <c:pt idx="0">
                  <c:v>0.52670940170940195</c:v>
                </c:pt>
                <c:pt idx="1">
                  <c:v>0.39087301587301582</c:v>
                </c:pt>
                <c:pt idx="2">
                  <c:v>0.30448717948717946</c:v>
                </c:pt>
                <c:pt idx="3">
                  <c:v>0.27976190476190471</c:v>
                </c:pt>
                <c:pt idx="4">
                  <c:v>0.40384615384615391</c:v>
                </c:pt>
                <c:pt idx="5">
                  <c:v>0.56150793650793673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9D-4B8A-8D7D-D69249D574B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49829631"/>
        <c:axId val="549845855"/>
      </c:barChart>
      <c:catAx>
        <c:axId val="5498296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9845855"/>
        <c:crosses val="autoZero"/>
        <c:auto val="1"/>
        <c:lblAlgn val="ctr"/>
        <c:lblOffset val="100"/>
        <c:noMultiLvlLbl val="0"/>
      </c:catAx>
      <c:valAx>
        <c:axId val="54984585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49829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D épület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eger_egyéb!$CX$203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eger_egyéb!$CY$202:$DD$202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eger_egyéb!$CY$203:$DD$203</c:f>
              <c:numCache>
                <c:formatCode>0.00</c:formatCode>
                <c:ptCount val="6"/>
                <c:pt idx="0">
                  <c:v>7.6813186813186807</c:v>
                </c:pt>
                <c:pt idx="1">
                  <c:v>6.4642857142857144</c:v>
                </c:pt>
                <c:pt idx="2">
                  <c:v>4.1703296703296697</c:v>
                </c:pt>
                <c:pt idx="3">
                  <c:v>4.4591836734693873</c:v>
                </c:pt>
                <c:pt idx="4">
                  <c:v>7.6993006993006992</c:v>
                </c:pt>
                <c:pt idx="5">
                  <c:v>10.240259740259742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6-44EA-A795-E8C7C8CE5728}"/>
            </c:ext>
          </c:extLst>
        </c:ser>
        <c:ser>
          <c:idx val="1"/>
          <c:order val="1"/>
          <c:tx>
            <c:strRef>
              <c:f>eger_egyéb!$CX$204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eger_egyéb!$CY$202:$DD$202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eger_egyéb!$CY$204:$DD$204</c:f>
              <c:numCache>
                <c:formatCode>0.00</c:formatCode>
                <c:ptCount val="6"/>
                <c:pt idx="0">
                  <c:v>33.923076923076927</c:v>
                </c:pt>
                <c:pt idx="1">
                  <c:v>21.571428571428569</c:v>
                </c:pt>
                <c:pt idx="2">
                  <c:v>16.92307692307692</c:v>
                </c:pt>
                <c:pt idx="3">
                  <c:v>16.142857142857142</c:v>
                </c:pt>
                <c:pt idx="4">
                  <c:v>23.076923076923077</c:v>
                </c:pt>
                <c:pt idx="5">
                  <c:v>28.285714285714295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86-44EA-A795-E8C7C8CE572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55718959"/>
        <c:axId val="355720207"/>
      </c:barChart>
      <c:catAx>
        <c:axId val="3557189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20207"/>
        <c:crosses val="autoZero"/>
        <c:auto val="1"/>
        <c:lblAlgn val="ctr"/>
        <c:lblOffset val="100"/>
        <c:noMultiLvlLbl val="0"/>
      </c:catAx>
      <c:valAx>
        <c:axId val="35572020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5571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Érsekkert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eger_egyéb!$CP$226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eger_egyéb!$CQ$225:$CV$225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eger_egyéb!$CQ$226:$CV$226</c:f>
              <c:numCache>
                <c:formatCode>0.00%</c:formatCode>
                <c:ptCount val="6"/>
                <c:pt idx="0">
                  <c:v>0.10480769230769228</c:v>
                </c:pt>
                <c:pt idx="1">
                  <c:v>7.1626984126984136E-2</c:v>
                </c:pt>
                <c:pt idx="2">
                  <c:v>9.027777777777779E-2</c:v>
                </c:pt>
                <c:pt idx="3">
                  <c:v>8.3134920634920659E-2</c:v>
                </c:pt>
                <c:pt idx="4">
                  <c:v>0.1713675213675214</c:v>
                </c:pt>
                <c:pt idx="5">
                  <c:v>0.18849206349206357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9-49AD-BEA1-FD3A5EF07F1B}"/>
            </c:ext>
          </c:extLst>
        </c:ser>
        <c:ser>
          <c:idx val="1"/>
          <c:order val="1"/>
          <c:tx>
            <c:strRef>
              <c:f>eger_egyéb!$CP$227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eger_egyéb!$CQ$225:$CV$225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eger_egyéb!$CQ$227:$CV$227</c:f>
              <c:numCache>
                <c:formatCode>0.00%</c:formatCode>
                <c:ptCount val="6"/>
                <c:pt idx="0">
                  <c:v>0.37820512820512814</c:v>
                </c:pt>
                <c:pt idx="1">
                  <c:v>0.41269841269841273</c:v>
                </c:pt>
                <c:pt idx="2">
                  <c:v>0.45833333333333348</c:v>
                </c:pt>
                <c:pt idx="3">
                  <c:v>0.4742063492063493</c:v>
                </c:pt>
                <c:pt idx="4">
                  <c:v>0.47222222222222238</c:v>
                </c:pt>
                <c:pt idx="5">
                  <c:v>0.49801587301587324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49-49AD-BEA1-FD3A5EF07F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7634303"/>
        <c:axId val="417642207"/>
      </c:barChart>
      <c:catAx>
        <c:axId val="41763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42207"/>
        <c:crosses val="autoZero"/>
        <c:auto val="1"/>
        <c:lblAlgn val="ctr"/>
        <c:lblOffset val="100"/>
        <c:noMultiLvlLbl val="0"/>
      </c:catAx>
      <c:valAx>
        <c:axId val="417642207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3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Érsekkert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eger_egyéb!$CX$226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eger_egyéb!$CY$225:$DD$225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eger_egyéb!$CY$226:$DD$226</c:f>
              <c:numCache>
                <c:formatCode>0.00</c:formatCode>
                <c:ptCount val="6"/>
                <c:pt idx="0">
                  <c:v>7.5461538461538451</c:v>
                </c:pt>
                <c:pt idx="1">
                  <c:v>5.1571428571428566</c:v>
                </c:pt>
                <c:pt idx="2">
                  <c:v>6.5000000000000027</c:v>
                </c:pt>
                <c:pt idx="3">
                  <c:v>5.9857142857142875</c:v>
                </c:pt>
                <c:pt idx="4">
                  <c:v>12.338461538461541</c:v>
                </c:pt>
                <c:pt idx="5">
                  <c:v>13.571428571428575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62-46EE-85C9-7086EB25F739}"/>
            </c:ext>
          </c:extLst>
        </c:ser>
        <c:ser>
          <c:idx val="1"/>
          <c:order val="1"/>
          <c:tx>
            <c:strRef>
              <c:f>eger_egyéb!$CX$227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eger_egyéb!$CY$225:$DD$225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eger_egyéb!$CY$227:$DD$227</c:f>
              <c:numCache>
                <c:formatCode>0.00</c:formatCode>
                <c:ptCount val="6"/>
                <c:pt idx="0">
                  <c:v>22.153846153846153</c:v>
                </c:pt>
                <c:pt idx="1">
                  <c:v>21.285714285714288</c:v>
                </c:pt>
                <c:pt idx="2">
                  <c:v>27.538461538461547</c:v>
                </c:pt>
                <c:pt idx="3">
                  <c:v>22.714285714285722</c:v>
                </c:pt>
                <c:pt idx="4">
                  <c:v>29.384615384615394</c:v>
                </c:pt>
                <c:pt idx="5">
                  <c:v>29.857142857142872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62-46EE-85C9-7086EB25F73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17637215"/>
        <c:axId val="417639295"/>
      </c:barChart>
      <c:catAx>
        <c:axId val="417637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39295"/>
        <c:crosses val="autoZero"/>
        <c:auto val="1"/>
        <c:lblAlgn val="ctr"/>
        <c:lblOffset val="100"/>
        <c:noMultiLvlLbl val="0"/>
      </c:catAx>
      <c:valAx>
        <c:axId val="41763929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7637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 épület egyéb kihasználtság</a:t>
            </a:r>
          </a:p>
        </c:rich>
      </c:tx>
      <c:layout>
        <c:manualLayout>
          <c:xMode val="edge"/>
          <c:yMode val="edge"/>
          <c:x val="0.15915626400358493"/>
          <c:y val="6.55737704918032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eger_egyéb!$CP$233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2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eger_egyéb!$CQ$232:$CV$232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eger_egyéb!$CQ$233:$CV$233</c:f>
              <c:numCache>
                <c:formatCode>0.00%</c:formatCode>
                <c:ptCount val="6"/>
                <c:pt idx="0">
                  <c:v>0.11057692307692309</c:v>
                </c:pt>
                <c:pt idx="1">
                  <c:v>6.2500000000000028E-2</c:v>
                </c:pt>
                <c:pt idx="2">
                  <c:v>0.1119123931623932</c:v>
                </c:pt>
                <c:pt idx="3">
                  <c:v>1.3888888888888883E-2</c:v>
                </c:pt>
                <c:pt idx="4">
                  <c:v>7.6388888888888881E-2</c:v>
                </c:pt>
                <c:pt idx="5">
                  <c:v>6.9444444444444434E-2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A3-4EFF-9B07-8EB5B65EC6CA}"/>
            </c:ext>
          </c:extLst>
        </c:ser>
        <c:ser>
          <c:idx val="1"/>
          <c:order val="1"/>
          <c:tx>
            <c:strRef>
              <c:f>eger_egyéb!$CP$234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eger_egyéb!$CQ$232:$CV$232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eger_egyéb!$CQ$234:$CV$234</c:f>
              <c:numCache>
                <c:formatCode>0.00%</c:formatCode>
                <c:ptCount val="6"/>
                <c:pt idx="0">
                  <c:v>0.31196581196581197</c:v>
                </c:pt>
                <c:pt idx="1">
                  <c:v>0.15277777777777782</c:v>
                </c:pt>
                <c:pt idx="2">
                  <c:v>0.33653846153846162</c:v>
                </c:pt>
                <c:pt idx="3">
                  <c:v>5.5555555555555532E-2</c:v>
                </c:pt>
                <c:pt idx="4">
                  <c:v>0.15277777777777776</c:v>
                </c:pt>
                <c:pt idx="5">
                  <c:v>6.9444444444444434E-2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A3-4EFF-9B07-8EB5B65EC6C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7650111"/>
        <c:axId val="417649279"/>
      </c:barChart>
      <c:catAx>
        <c:axId val="4176501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49279"/>
        <c:crosses val="autoZero"/>
        <c:auto val="1"/>
        <c:lblAlgn val="ctr"/>
        <c:lblOffset val="100"/>
        <c:noMultiLvlLbl val="0"/>
      </c:catAx>
      <c:valAx>
        <c:axId val="41764927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50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Óraátlagok és -maximumok az</a:t>
            </a:r>
            <a:br>
              <a:rPr lang="hu-HU"/>
            </a:br>
            <a:r>
              <a:rPr lang="hu-HU"/>
              <a:t> A épületben</a:t>
            </a:r>
          </a:p>
          <a:p>
            <a:pPr>
              <a:defRPr/>
            </a:pPr>
            <a:endParaRPr lang="hu-HU"/>
          </a:p>
        </c:rich>
      </c:tx>
      <c:layout>
        <c:manualLayout>
          <c:xMode val="edge"/>
          <c:yMode val="edge"/>
          <c:x val="0.175975590115912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eger!$CV$232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eger!$CW$231:$DB$231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eger!$CW$232:$DB$232</c:f>
              <c:numCache>
                <c:formatCode>0.00</c:formatCode>
                <c:ptCount val="6"/>
                <c:pt idx="0">
                  <c:v>40.988165680473379</c:v>
                </c:pt>
                <c:pt idx="1">
                  <c:v>20.69777628032346</c:v>
                </c:pt>
                <c:pt idx="2">
                  <c:v>43.071794871794864</c:v>
                </c:pt>
                <c:pt idx="3">
                  <c:v>39.560544217687074</c:v>
                </c:pt>
                <c:pt idx="4">
                  <c:v>41.447619047619057</c:v>
                </c:pt>
                <c:pt idx="5">
                  <c:v>39.170068027210895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A-4078-A949-BE630897F5D8}"/>
            </c:ext>
          </c:extLst>
        </c:ser>
        <c:ser>
          <c:idx val="1"/>
          <c:order val="1"/>
          <c:tx>
            <c:strRef>
              <c:f>eger!$CV$233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eger!$CW$231:$DB$231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eger!$CW$233:$DB$233</c:f>
              <c:numCache>
                <c:formatCode>0.00</c:formatCode>
                <c:ptCount val="6"/>
                <c:pt idx="0">
                  <c:v>68.307692307692278</c:v>
                </c:pt>
                <c:pt idx="1">
                  <c:v>37.109890109890102</c:v>
                </c:pt>
                <c:pt idx="2">
                  <c:v>69.307692307692307</c:v>
                </c:pt>
                <c:pt idx="3">
                  <c:v>62.357142857142847</c:v>
                </c:pt>
                <c:pt idx="4">
                  <c:v>61.923076923076913</c:v>
                </c:pt>
                <c:pt idx="5">
                  <c:v>63.142857142857125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A-4078-A949-BE630897F5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44174368"/>
        <c:axId val="144174784"/>
      </c:barChart>
      <c:catAx>
        <c:axId val="14417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4174784"/>
        <c:crosses val="autoZero"/>
        <c:auto val="1"/>
        <c:lblAlgn val="ctr"/>
        <c:lblOffset val="100"/>
        <c:noMultiLvlLbl val="0"/>
      </c:catAx>
      <c:valAx>
        <c:axId val="1441747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417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2733019069133765"/>
          <c:y val="0.24671641791044779"/>
          <c:w val="0.13998849814283923"/>
          <c:h val="9.0362078234196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F épület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eger_egyéb!$CX$233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eger_egyéb!$CY$232:$DD$232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eger_egyéb!$CY$233:$DD$233</c:f>
              <c:numCache>
                <c:formatCode>0.00</c:formatCode>
                <c:ptCount val="6"/>
                <c:pt idx="0">
                  <c:v>7.9615384615384617</c:v>
                </c:pt>
                <c:pt idx="1">
                  <c:v>4.5000000000000018</c:v>
                </c:pt>
                <c:pt idx="2">
                  <c:v>8.0576923076923102</c:v>
                </c:pt>
                <c:pt idx="3">
                  <c:v>0.99999999999999967</c:v>
                </c:pt>
                <c:pt idx="4">
                  <c:v>5.5</c:v>
                </c:pt>
                <c:pt idx="5">
                  <c:v>4.9999999999999991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6B-4524-8359-DC298804A0EE}"/>
            </c:ext>
          </c:extLst>
        </c:ser>
        <c:ser>
          <c:idx val="1"/>
          <c:order val="1"/>
          <c:tx>
            <c:strRef>
              <c:f>eger_egyéb!$CX$234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eger_egyéb!$CY$232:$DD$232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eger_egyéb!$CY$234:$DD$234</c:f>
              <c:numCache>
                <c:formatCode>0.00</c:formatCode>
                <c:ptCount val="6"/>
                <c:pt idx="0">
                  <c:v>16.846153846153847</c:v>
                </c:pt>
                <c:pt idx="1">
                  <c:v>8.0000000000000036</c:v>
                </c:pt>
                <c:pt idx="2">
                  <c:v>14.000000000000004</c:v>
                </c:pt>
                <c:pt idx="3">
                  <c:v>3.9999999999999987</c:v>
                </c:pt>
                <c:pt idx="4">
                  <c:v>5.9999999999999982</c:v>
                </c:pt>
                <c:pt idx="5">
                  <c:v>4.9999999999999991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6B-4524-8359-DC298804A0E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17628895"/>
        <c:axId val="417648031"/>
      </c:barChart>
      <c:catAx>
        <c:axId val="417628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48031"/>
        <c:crosses val="autoZero"/>
        <c:auto val="1"/>
        <c:lblAlgn val="ctr"/>
        <c:lblOffset val="100"/>
        <c:noMultiLvlLbl val="0"/>
      </c:catAx>
      <c:valAx>
        <c:axId val="41764803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76288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Külső helyszín Eger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eger_egyéb!$CP$245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3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eger_egyéb!$CQ$244:$CV$244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eger_egyéb!$CQ$245:$CV$245</c:f>
              <c:numCache>
                <c:formatCode>0.00%</c:formatCode>
                <c:ptCount val="6"/>
                <c:pt idx="0">
                  <c:v>6.7545109211775881E-2</c:v>
                </c:pt>
                <c:pt idx="1">
                  <c:v>2.5132275132275127E-2</c:v>
                </c:pt>
                <c:pt idx="2">
                  <c:v>2.5403608736942068E-2</c:v>
                </c:pt>
                <c:pt idx="3">
                  <c:v>2.2266313932980591E-2</c:v>
                </c:pt>
                <c:pt idx="4">
                  <c:v>8.5897435897435911E-2</c:v>
                </c:pt>
                <c:pt idx="5">
                  <c:v>9.5634920634920628E-2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8-43E6-9A9C-811E4EA8C300}"/>
            </c:ext>
          </c:extLst>
        </c:ser>
        <c:ser>
          <c:idx val="1"/>
          <c:order val="1"/>
          <c:tx>
            <c:strRef>
              <c:f>eger_egyéb!$CP$246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eger_egyéb!$CQ$244:$CV$244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eger_egyéb!$CQ$246:$CV$246</c:f>
              <c:numCache>
                <c:formatCode>0.00%</c:formatCode>
                <c:ptCount val="6"/>
                <c:pt idx="0">
                  <c:v>0.28632478632478636</c:v>
                </c:pt>
                <c:pt idx="1">
                  <c:v>0.12896825396825393</c:v>
                </c:pt>
                <c:pt idx="2">
                  <c:v>0.14529914529914528</c:v>
                </c:pt>
                <c:pt idx="3">
                  <c:v>0.16468253968253962</c:v>
                </c:pt>
                <c:pt idx="4">
                  <c:v>0.27350427350427353</c:v>
                </c:pt>
                <c:pt idx="5">
                  <c:v>0.28373015873015867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8-43E6-9A9C-811E4EA8C30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87668879"/>
        <c:axId val="587665135"/>
      </c:barChart>
      <c:catAx>
        <c:axId val="5876688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65135"/>
        <c:crosses val="autoZero"/>
        <c:auto val="1"/>
        <c:lblAlgn val="ctr"/>
        <c:lblOffset val="100"/>
        <c:noMultiLvlLbl val="0"/>
      </c:catAx>
      <c:valAx>
        <c:axId val="58766513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68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Külső helyszín Eger óraszámok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eger_egyéb!$CX$245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eger_egyéb!$CY$244:$DD$244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eger_egyéb!$CY$245:$DD$245</c:f>
              <c:numCache>
                <c:formatCode>0.00</c:formatCode>
                <c:ptCount val="6"/>
                <c:pt idx="0">
                  <c:v>4.8632478632478628</c:v>
                </c:pt>
                <c:pt idx="1">
                  <c:v>1.8095238095238091</c:v>
                </c:pt>
                <c:pt idx="2">
                  <c:v>1.8290598290598288</c:v>
                </c:pt>
                <c:pt idx="3">
                  <c:v>1.6031746031746026</c:v>
                </c:pt>
                <c:pt idx="4">
                  <c:v>6.1846153846153857</c:v>
                </c:pt>
                <c:pt idx="5">
                  <c:v>6.8857142857142843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5-4E20-B519-C36B7D71C22B}"/>
            </c:ext>
          </c:extLst>
        </c:ser>
        <c:ser>
          <c:idx val="1"/>
          <c:order val="1"/>
          <c:tx>
            <c:strRef>
              <c:f>eger_egyéb!$CX$246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eger_egyéb!$CY$244:$DD$244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eger_egyéb!$CY$246:$DD$246</c:f>
              <c:numCache>
                <c:formatCode>0.00</c:formatCode>
                <c:ptCount val="6"/>
                <c:pt idx="0">
                  <c:v>13.923076923076922</c:v>
                </c:pt>
                <c:pt idx="1">
                  <c:v>5.9999999999999982</c:v>
                </c:pt>
                <c:pt idx="2">
                  <c:v>5.9999999999999982</c:v>
                </c:pt>
                <c:pt idx="3">
                  <c:v>3.9999999999999987</c:v>
                </c:pt>
                <c:pt idx="4">
                  <c:v>17.230769230769237</c:v>
                </c:pt>
                <c:pt idx="5">
                  <c:v>14.999999999999996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45-4E20-B519-C36B7D71C22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66383"/>
        <c:axId val="587643503"/>
      </c:barChart>
      <c:catAx>
        <c:axId val="5876663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43503"/>
        <c:crosses val="autoZero"/>
        <c:auto val="1"/>
        <c:lblAlgn val="ctr"/>
        <c:lblOffset val="100"/>
        <c:noMultiLvlLbl val="0"/>
      </c:catAx>
      <c:valAx>
        <c:axId val="58764350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66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Eger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eger_egyéb!$CO$258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eger_egyéb!$CP$257:$CX$257</c:f>
              <c:strCache>
                <c:ptCount val="9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</c:strCache>
            </c:strRef>
          </c:cat>
          <c:val>
            <c:numRef>
              <c:f>eger_egyéb!$CP$258:$CX$258</c:f>
              <c:numCache>
                <c:formatCode>0.00%</c:formatCode>
                <c:ptCount val="9"/>
                <c:pt idx="0">
                  <c:v>0.12412053496612319</c:v>
                </c:pt>
                <c:pt idx="1">
                  <c:v>9.9641027375402383E-2</c:v>
                </c:pt>
                <c:pt idx="2">
                  <c:v>1.7816442816442814E-2</c:v>
                </c:pt>
                <c:pt idx="3">
                  <c:v>3.4739180572513899E-2</c:v>
                </c:pt>
                <c:pt idx="4">
                  <c:v>9.4246940229083087E-2</c:v>
                </c:pt>
                <c:pt idx="5">
                  <c:v>0.10285027472527473</c:v>
                </c:pt>
                <c:pt idx="6">
                  <c:v>0.11828449328449331</c:v>
                </c:pt>
                <c:pt idx="7">
                  <c:v>7.4118589743589758E-2</c:v>
                </c:pt>
                <c:pt idx="8">
                  <c:v>5.3646610591055043E-2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2F-4545-838B-37E459FBC277}"/>
            </c:ext>
          </c:extLst>
        </c:ser>
        <c:ser>
          <c:idx val="1"/>
          <c:order val="1"/>
          <c:tx>
            <c:strRef>
              <c:f>eger_egyéb!$CO$259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eger_egyéb!$CP$257:$CX$257</c:f>
              <c:strCache>
                <c:ptCount val="9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</c:strCache>
            </c:strRef>
          </c:cat>
          <c:val>
            <c:numRef>
              <c:f>eger_egyéb!$CP$259:$CX$259</c:f>
              <c:numCache>
                <c:formatCode>0.00%</c:formatCode>
                <c:ptCount val="9"/>
                <c:pt idx="0">
                  <c:v>0.64555352055352067</c:v>
                </c:pt>
                <c:pt idx="1">
                  <c:v>0.56669719169719179</c:v>
                </c:pt>
                <c:pt idx="2">
                  <c:v>0.12029405779405776</c:v>
                </c:pt>
                <c:pt idx="3">
                  <c:v>8.8776963776963758E-2</c:v>
                </c:pt>
                <c:pt idx="4">
                  <c:v>0.41119759869759881</c:v>
                </c:pt>
                <c:pt idx="5">
                  <c:v>0.34503459503459505</c:v>
                </c:pt>
                <c:pt idx="6">
                  <c:v>0.44894688644688657</c:v>
                </c:pt>
                <c:pt idx="7">
                  <c:v>0.17984330484330482</c:v>
                </c:pt>
                <c:pt idx="8">
                  <c:v>0.21375152625152624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2F-4545-838B-37E459FBC27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7625151"/>
        <c:axId val="417621823"/>
      </c:barChart>
      <c:catAx>
        <c:axId val="4176251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21823"/>
        <c:crosses val="autoZero"/>
        <c:auto val="1"/>
        <c:lblAlgn val="ctr"/>
        <c:lblOffset val="100"/>
        <c:noMultiLvlLbl val="0"/>
      </c:catAx>
      <c:valAx>
        <c:axId val="41762182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25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Eger egyéb óraszámok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eger_egyéb!$CO$263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eger_egyéb!$CP$262:$CX$262</c:f>
              <c:strCache>
                <c:ptCount val="9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</c:strCache>
            </c:strRef>
          </c:cat>
          <c:val>
            <c:numRef>
              <c:f>eger_egyéb!$CP$263:$CX$263</c:f>
              <c:numCache>
                <c:formatCode>0.00</c:formatCode>
                <c:ptCount val="9"/>
                <c:pt idx="0">
                  <c:v>8.9366785175608712</c:v>
                </c:pt>
                <c:pt idx="1">
                  <c:v>7.1741539710289723</c:v>
                </c:pt>
                <c:pt idx="2">
                  <c:v>1.2827838827838824</c:v>
                </c:pt>
                <c:pt idx="3">
                  <c:v>2.5012210012210012</c:v>
                </c:pt>
                <c:pt idx="4">
                  <c:v>6.7857796964939823</c:v>
                </c:pt>
                <c:pt idx="5">
                  <c:v>7.405219780219781</c:v>
                </c:pt>
                <c:pt idx="6">
                  <c:v>8.5164835164835182</c:v>
                </c:pt>
                <c:pt idx="7">
                  <c:v>5.3365384615384626</c:v>
                </c:pt>
                <c:pt idx="8">
                  <c:v>3.8625559625559625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E-4E89-8A2F-1EF4D957798A}"/>
            </c:ext>
          </c:extLst>
        </c:ser>
        <c:ser>
          <c:idx val="1"/>
          <c:order val="1"/>
          <c:tx>
            <c:strRef>
              <c:f>eger_egyéb!$CO$264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eger_egyéb!$CP$262:$CX$262</c:f>
              <c:strCache>
                <c:ptCount val="9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</c:strCache>
            </c:strRef>
          </c:cat>
          <c:val>
            <c:numRef>
              <c:f>eger_egyéb!$CP$264:$CX$264</c:f>
              <c:numCache>
                <c:formatCode>0.00</c:formatCode>
                <c:ptCount val="9"/>
                <c:pt idx="0">
                  <c:v>34.579670329670336</c:v>
                </c:pt>
                <c:pt idx="1">
                  <c:v>37.913919413919423</c:v>
                </c:pt>
                <c:pt idx="2">
                  <c:v>5.8131868131868112</c:v>
                </c:pt>
                <c:pt idx="3">
                  <c:v>6.3919413919413914</c:v>
                </c:pt>
                <c:pt idx="4">
                  <c:v>23.320512820512821</c:v>
                </c:pt>
                <c:pt idx="5">
                  <c:v>22.197802197802201</c:v>
                </c:pt>
                <c:pt idx="6">
                  <c:v>25.489010989010993</c:v>
                </c:pt>
                <c:pt idx="7">
                  <c:v>8.9743589743589762</c:v>
                </c:pt>
                <c:pt idx="8">
                  <c:v>10.358974358974359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3E-4E89-8A2F-1EF4D957798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64303"/>
        <c:axId val="587663471"/>
      </c:barChart>
      <c:catAx>
        <c:axId val="587664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63471"/>
        <c:crosses val="autoZero"/>
        <c:auto val="1"/>
        <c:lblAlgn val="ctr"/>
        <c:lblOffset val="100"/>
        <c:noMultiLvlLbl val="0"/>
      </c:catAx>
      <c:valAx>
        <c:axId val="587663471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6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Sárospatak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sárospatak_egyéb!$CO$13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sárospatak_egyéb!$CP$12:$CU$12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sárospatak_egyéb!$CP$13:$CU$13</c:f>
              <c:numCache>
                <c:formatCode>0.00%</c:formatCode>
                <c:ptCount val="6"/>
                <c:pt idx="0">
                  <c:v>4.620726495726496E-2</c:v>
                </c:pt>
                <c:pt idx="1">
                  <c:v>7.6264880952380945E-2</c:v>
                </c:pt>
                <c:pt idx="2">
                  <c:v>8.7473290598290593E-2</c:v>
                </c:pt>
                <c:pt idx="3">
                  <c:v>5.1587301587301598E-2</c:v>
                </c:pt>
                <c:pt idx="4">
                  <c:v>0.14786324786324787</c:v>
                </c:pt>
                <c:pt idx="5">
                  <c:v>0.16567460317460317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4-4740-A85E-4EF3874D7C46}"/>
            </c:ext>
          </c:extLst>
        </c:ser>
        <c:ser>
          <c:idx val="1"/>
          <c:order val="1"/>
          <c:tx>
            <c:strRef>
              <c:f>sárospatak_egyéb!$CO$14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sárospatak_egyéb!$CP$12:$CU$12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sárospatak_egyéb!$CP$14:$CU$14</c:f>
              <c:numCache>
                <c:formatCode>0.00%</c:formatCode>
                <c:ptCount val="6"/>
                <c:pt idx="0">
                  <c:v>0.22970085470085469</c:v>
                </c:pt>
                <c:pt idx="1">
                  <c:v>0.30257936507936506</c:v>
                </c:pt>
                <c:pt idx="2">
                  <c:v>0.36752136752136755</c:v>
                </c:pt>
                <c:pt idx="3">
                  <c:v>0.25099206349206354</c:v>
                </c:pt>
                <c:pt idx="4">
                  <c:v>0.38247863247863251</c:v>
                </c:pt>
                <c:pt idx="5">
                  <c:v>0.3888888888888889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24-4740-A85E-4EF3874D7C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5718543"/>
        <c:axId val="355729359"/>
      </c:barChart>
      <c:catAx>
        <c:axId val="355718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29359"/>
        <c:crosses val="autoZero"/>
        <c:auto val="1"/>
        <c:lblAlgn val="ctr"/>
        <c:lblOffset val="100"/>
        <c:noMultiLvlLbl val="0"/>
      </c:catAx>
      <c:valAx>
        <c:axId val="35572935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18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Sárospatak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sárospatak_egyéb!$CW$13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sárospatak_egyéb!$CX$12:$DC$12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sárospatak_egyéb!$CX$13:$DC$13</c:f>
              <c:numCache>
                <c:formatCode>0.00</c:formatCode>
                <c:ptCount val="6"/>
                <c:pt idx="0">
                  <c:v>3.3269230769230766</c:v>
                </c:pt>
                <c:pt idx="1">
                  <c:v>5.4910714285714288</c:v>
                </c:pt>
                <c:pt idx="2">
                  <c:v>6.2980769230769225</c:v>
                </c:pt>
                <c:pt idx="3">
                  <c:v>3.7142857142857144</c:v>
                </c:pt>
                <c:pt idx="4">
                  <c:v>10.646153846153846</c:v>
                </c:pt>
                <c:pt idx="5">
                  <c:v>11.928571428571429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A-4D1E-9DB1-E2041EF34B2B}"/>
            </c:ext>
          </c:extLst>
        </c:ser>
        <c:ser>
          <c:idx val="1"/>
          <c:order val="1"/>
          <c:tx>
            <c:strRef>
              <c:f>sárospatak_egyéb!$CW$14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sárospatak_egyéb!$CX$12:$DC$12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sárospatak_egyéb!$CX$14:$DC$14</c:f>
              <c:numCache>
                <c:formatCode>0.00</c:formatCode>
                <c:ptCount val="6"/>
                <c:pt idx="0">
                  <c:v>8.3846153846153832</c:v>
                </c:pt>
                <c:pt idx="1">
                  <c:v>12.928571428571429</c:v>
                </c:pt>
                <c:pt idx="2">
                  <c:v>26.46153846153846</c:v>
                </c:pt>
                <c:pt idx="3">
                  <c:v>14.500000000000004</c:v>
                </c:pt>
                <c:pt idx="4">
                  <c:v>24.846153846153843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A-4D1E-9DB1-E2041EF34B2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48079"/>
        <c:axId val="587644335"/>
      </c:barChart>
      <c:catAx>
        <c:axId val="587648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44335"/>
        <c:crosses val="autoZero"/>
        <c:auto val="1"/>
        <c:lblAlgn val="ctr"/>
        <c:lblOffset val="100"/>
        <c:noMultiLvlLbl val="0"/>
      </c:catAx>
      <c:valAx>
        <c:axId val="587644335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48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Gyöngyös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gyöngyös_egyéb!$CM$13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gyöngyös_egyéb!$CN$12:$CS$12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gyöngyös_egyéb!$CN$13:$CS$13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6.2321937321937325E-2</c:v>
                </c:pt>
                <c:pt idx="3">
                  <c:v>7.9365079365079343E-3</c:v>
                </c:pt>
                <c:pt idx="4">
                  <c:v>0.11645299145299147</c:v>
                </c:pt>
                <c:pt idx="5">
                  <c:v>9.9206349206349229E-2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4C-47CA-8D3F-F5B961EE3D0E}"/>
            </c:ext>
          </c:extLst>
        </c:ser>
        <c:ser>
          <c:idx val="1"/>
          <c:order val="1"/>
          <c:tx>
            <c:strRef>
              <c:f>gyöngyös_egyéb!$CM$14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gyöngyös_egyéb!$CN$12:$CS$12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gyöngyös_egyéb!$CN$14:$CS$14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0.27457264957264965</c:v>
                </c:pt>
                <c:pt idx="3">
                  <c:v>7.1428571428571411E-2</c:v>
                </c:pt>
                <c:pt idx="4">
                  <c:v>0.38034188034188032</c:v>
                </c:pt>
                <c:pt idx="5">
                  <c:v>0.38293650793650819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4C-47CA-8D3F-F5B961EE3D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5712303"/>
        <c:axId val="355733103"/>
      </c:barChart>
      <c:catAx>
        <c:axId val="355712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33103"/>
        <c:crosses val="autoZero"/>
        <c:auto val="1"/>
        <c:lblAlgn val="ctr"/>
        <c:lblOffset val="100"/>
        <c:noMultiLvlLbl val="0"/>
      </c:catAx>
      <c:valAx>
        <c:axId val="355733103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55712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Gyöngyös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gyöngyös_egyéb!$CU$13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gyöngyös_egyéb!$CV$12:$DA$12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gyöngyös_egyéb!$CV$13:$DA$13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4.4871794871794872</c:v>
                </c:pt>
                <c:pt idx="3">
                  <c:v>0.57142857142857129</c:v>
                </c:pt>
                <c:pt idx="4">
                  <c:v>8.384615384615385</c:v>
                </c:pt>
                <c:pt idx="5">
                  <c:v>7.1428571428571459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7-4102-9628-6E750BC8C39D}"/>
            </c:ext>
          </c:extLst>
        </c:ser>
        <c:ser>
          <c:idx val="1"/>
          <c:order val="1"/>
          <c:tx>
            <c:strRef>
              <c:f>gyöngyös_egyéb!$CU$14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gyöngyös_egyéb!$CV$12:$DA$12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gyöngyös_egyéb!$CV$14:$DA$14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16.692307692307693</c:v>
                </c:pt>
                <c:pt idx="3">
                  <c:v>3.9999999999999987</c:v>
                </c:pt>
                <c:pt idx="4">
                  <c:v>21.76923076923077</c:v>
                </c:pt>
                <c:pt idx="5">
                  <c:v>22.000000000000021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7-4102-9628-6E750BC8C39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87653487"/>
        <c:axId val="587658479"/>
      </c:barChart>
      <c:catAx>
        <c:axId val="587653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87658479"/>
        <c:crosses val="autoZero"/>
        <c:auto val="1"/>
        <c:lblAlgn val="ctr"/>
        <c:lblOffset val="100"/>
        <c:noMultiLvlLbl val="0"/>
      </c:catAx>
      <c:valAx>
        <c:axId val="587658479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87653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Jászberény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jberény_egyéb!$CM$19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jberény_egyéb!$CN$18:$CS$18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jberény_egyéb!$CN$19:$CS$19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5.306267806267808E-2</c:v>
                </c:pt>
                <c:pt idx="3">
                  <c:v>2.7645502645502643E-2</c:v>
                </c:pt>
                <c:pt idx="4">
                  <c:v>0.10007122507122508</c:v>
                </c:pt>
                <c:pt idx="5">
                  <c:v>2.9183201058201057E-2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F-400D-9E19-443E759B5DB2}"/>
            </c:ext>
          </c:extLst>
        </c:ser>
        <c:ser>
          <c:idx val="1"/>
          <c:order val="1"/>
          <c:tx>
            <c:strRef>
              <c:f>jberény_egyéb!$CM$20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jberény_egyéb!$CN$18:$CS$18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jberény_egyéb!$CN$20:$CS$20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0.54166666666666685</c:v>
                </c:pt>
                <c:pt idx="3">
                  <c:v>0.27777777777777779</c:v>
                </c:pt>
                <c:pt idx="4">
                  <c:v>0.43055555555555564</c:v>
                </c:pt>
                <c:pt idx="5">
                  <c:v>0.18452380952380951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FF-400D-9E19-443E759B5DB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95531439"/>
        <c:axId val="295536847"/>
      </c:barChart>
      <c:catAx>
        <c:axId val="295531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5536847"/>
        <c:crosses val="autoZero"/>
        <c:auto val="1"/>
        <c:lblAlgn val="ctr"/>
        <c:lblOffset val="100"/>
        <c:noMultiLvlLbl val="0"/>
      </c:catAx>
      <c:valAx>
        <c:axId val="295536847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95531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B épület átlag és maximumkihasználtsága </a:t>
            </a:r>
            <a:br>
              <a:rPr lang="hu-HU"/>
            </a:br>
            <a:r>
              <a:rPr lang="hu-HU"/>
              <a:t>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eger_tanterem!$CM$258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eger_tanterem!$CN$257:$CS$257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eger_tanterem!$CN$258:$CS$258</c:f>
              <c:numCache>
                <c:formatCode>0.00%</c:formatCode>
                <c:ptCount val="6"/>
                <c:pt idx="0">
                  <c:v>0.75018580453363037</c:v>
                </c:pt>
                <c:pt idx="1">
                  <c:v>0.71221532091097317</c:v>
                </c:pt>
                <c:pt idx="2">
                  <c:v>0.72421962095875114</c:v>
                </c:pt>
                <c:pt idx="3">
                  <c:v>0.69086438923395443</c:v>
                </c:pt>
                <c:pt idx="4">
                  <c:v>0.72412671869193601</c:v>
                </c:pt>
                <c:pt idx="5">
                  <c:v>0.66662353347135961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C-4FAF-BBE6-59BBFA21FF01}"/>
            </c:ext>
          </c:extLst>
        </c:ser>
        <c:ser>
          <c:idx val="1"/>
          <c:order val="1"/>
          <c:tx>
            <c:strRef>
              <c:f>eger_tanterem!$CM$259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eger_tanterem!$CN$257:$CS$257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eger_tanterem!$CN$259:$CS$259</c:f>
              <c:numCache>
                <c:formatCode>0.00%</c:formatCode>
                <c:ptCount val="6"/>
                <c:pt idx="0">
                  <c:v>0.99572649572649519</c:v>
                </c:pt>
                <c:pt idx="1">
                  <c:v>0.92162698412698363</c:v>
                </c:pt>
                <c:pt idx="2">
                  <c:v>0.92200854700854673</c:v>
                </c:pt>
                <c:pt idx="3">
                  <c:v>0.88789682539682524</c:v>
                </c:pt>
                <c:pt idx="4">
                  <c:v>0.93482905982905928</c:v>
                </c:pt>
                <c:pt idx="5">
                  <c:v>0.87896825396825384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DC-4FAF-BBE6-59BBFA21FF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5804672"/>
        <c:axId val="255802176"/>
      </c:barChart>
      <c:catAx>
        <c:axId val="255804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802176"/>
        <c:crosses val="autoZero"/>
        <c:auto val="1"/>
        <c:lblAlgn val="ctr"/>
        <c:lblOffset val="100"/>
        <c:noMultiLvlLbl val="0"/>
      </c:catAx>
      <c:valAx>
        <c:axId val="2558021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80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Jászberény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jberény_egyéb!$CU$19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jberény_egyéb!$CV$18:$DA$18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jberény_egyéb!$CV$19:$DA$19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3.820512820512822</c:v>
                </c:pt>
                <c:pt idx="3">
                  <c:v>1.9904761904761901</c:v>
                </c:pt>
                <c:pt idx="4">
                  <c:v>7.2051282051282062</c:v>
                </c:pt>
                <c:pt idx="5">
                  <c:v>2.1011904761904758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7-4767-80D4-F32CB16F774C}"/>
            </c:ext>
          </c:extLst>
        </c:ser>
        <c:ser>
          <c:idx val="1"/>
          <c:order val="1"/>
          <c:tx>
            <c:strRef>
              <c:f>jberény_egyéb!$CU$20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jberény_egyéb!$CV$18:$DA$18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jberény_egyéb!$CV$20:$DA$20</c:f>
              <c:numCache>
                <c:formatCode>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35.000000000000014</c:v>
                </c:pt>
                <c:pt idx="3">
                  <c:v>19.571428571428569</c:v>
                </c:pt>
                <c:pt idx="4">
                  <c:v>14.307692307692312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77-4767-80D4-F32CB16F774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17637631"/>
        <c:axId val="417640543"/>
      </c:barChart>
      <c:catAx>
        <c:axId val="4176376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7640543"/>
        <c:crosses val="autoZero"/>
        <c:auto val="1"/>
        <c:lblAlgn val="ctr"/>
        <c:lblOffset val="100"/>
        <c:noMultiLvlLbl val="0"/>
      </c:catAx>
      <c:valAx>
        <c:axId val="41764054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17637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Egyéb helyiségek kihasználtsága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onként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összesítő!$B$40</c:f>
              <c:strCache>
                <c:ptCount val="1"/>
                <c:pt idx="0">
                  <c:v>Eger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összesítő!$A$41:$A$42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összesítő!$B$41:$B$42</c:f>
              <c:numCache>
                <c:formatCode>0.00%</c:formatCode>
                <c:ptCount val="2"/>
                <c:pt idx="0">
                  <c:v>9.6479345992712795E-2</c:v>
                </c:pt>
                <c:pt idx="1">
                  <c:v>0.69127747252747263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E-4813-96D5-DECDA88CB19F}"/>
            </c:ext>
          </c:extLst>
        </c:ser>
        <c:ser>
          <c:idx val="1"/>
          <c:order val="1"/>
          <c:tx>
            <c:strRef>
              <c:f>összesítő!$C$40</c:f>
              <c:strCache>
                <c:ptCount val="1"/>
                <c:pt idx="0">
                  <c:v>Sárospatak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összesítő!$A$41:$A$42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összesítő!$C$41:$C$42</c:f>
              <c:numCache>
                <c:formatCode>0.00%</c:formatCode>
                <c:ptCount val="2"/>
                <c:pt idx="0">
                  <c:v>9.5845098188848191E-2</c:v>
                </c:pt>
                <c:pt idx="1">
                  <c:v>0.32036019536019539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8E-4813-96D5-DECDA88CB19F}"/>
            </c:ext>
          </c:extLst>
        </c:ser>
        <c:ser>
          <c:idx val="2"/>
          <c:order val="2"/>
          <c:tx>
            <c:strRef>
              <c:f>összesítő!$D$40</c:f>
              <c:strCache>
                <c:ptCount val="1"/>
                <c:pt idx="0">
                  <c:v>Gyöngyös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összesítő!$A$41:$A$42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összesítő!$D$41:$D$42</c:f>
              <c:numCache>
                <c:formatCode>0.00%</c:formatCode>
                <c:ptCount val="2"/>
                <c:pt idx="0">
                  <c:v>7.1479446479446485E-2</c:v>
                </c:pt>
                <c:pt idx="1">
                  <c:v>0.27731990231990239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8E-4813-96D5-DECDA88CB19F}"/>
            </c:ext>
          </c:extLst>
        </c:ser>
        <c:ser>
          <c:idx val="3"/>
          <c:order val="3"/>
          <c:tx>
            <c:strRef>
              <c:f>összesítő!$E$40</c:f>
              <c:strCache>
                <c:ptCount val="1"/>
                <c:pt idx="0">
                  <c:v>Jászberény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összesítő!$A$41:$A$42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összesítő!$E$41:$E$42</c:f>
              <c:numCache>
                <c:formatCode>0.00%</c:formatCode>
                <c:ptCount val="2"/>
                <c:pt idx="0">
                  <c:v>5.2490651709401717E-2</c:v>
                </c:pt>
                <c:pt idx="1">
                  <c:v>0.35863095238095244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8E-4813-96D5-DECDA88CB1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86741327"/>
        <c:axId val="786736751"/>
      </c:barChart>
      <c:catAx>
        <c:axId val="786741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6736751"/>
        <c:crosses val="autoZero"/>
        <c:auto val="1"/>
        <c:lblAlgn val="ctr"/>
        <c:lblOffset val="100"/>
        <c:noMultiLvlLbl val="0"/>
      </c:catAx>
      <c:valAx>
        <c:axId val="78673675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7867413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Egyéb helyiségek óraszámai </a:t>
            </a:r>
            <a:r>
              <a:rPr lang="hu-HU" sz="18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+mn-lt"/>
                <a:ea typeface="+mn-ea"/>
                <a:cs typeface="+mn-cs"/>
              </a:rPr>
              <a:t>Campus</a:t>
            </a:r>
            <a:r>
              <a:rPr lang="hu-HU"/>
              <a:t>onként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összesítő!$H$40</c:f>
              <c:strCache>
                <c:ptCount val="1"/>
                <c:pt idx="0">
                  <c:v>Eger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összesítő!$G$41:$G$42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összesítő!$H$41:$H$42</c:f>
              <c:numCache>
                <c:formatCode>0.00</c:formatCode>
                <c:ptCount val="2"/>
                <c:pt idx="0">
                  <c:v>6.946512911475323</c:v>
                </c:pt>
                <c:pt idx="1">
                  <c:v>39.093406593406606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0-4455-9B41-A971BDC39FC2}"/>
            </c:ext>
          </c:extLst>
        </c:ser>
        <c:ser>
          <c:idx val="1"/>
          <c:order val="1"/>
          <c:tx>
            <c:strRef>
              <c:f>összesítő!$I$40</c:f>
              <c:strCache>
                <c:ptCount val="1"/>
                <c:pt idx="0">
                  <c:v>Sárospatak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összesítő!$G$41:$G$42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összesítő!$I$41:$I$42</c:f>
              <c:numCache>
                <c:formatCode>0.00</c:formatCode>
                <c:ptCount val="2"/>
                <c:pt idx="0">
                  <c:v>6.9008470695970701</c:v>
                </c:pt>
                <c:pt idx="1">
                  <c:v>17.85347985347985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90-4455-9B41-A971BDC39FC2}"/>
            </c:ext>
          </c:extLst>
        </c:ser>
        <c:ser>
          <c:idx val="2"/>
          <c:order val="2"/>
          <c:tx>
            <c:strRef>
              <c:f>összesítő!$J$40</c:f>
              <c:strCache>
                <c:ptCount val="1"/>
                <c:pt idx="0">
                  <c:v>Gyöngyös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összesítő!$G$41:$G$42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összesítő!$J$41:$J$42</c:f>
              <c:numCache>
                <c:formatCode>0.00</c:formatCode>
                <c:ptCount val="2"/>
                <c:pt idx="0">
                  <c:v>5.1465201465201478</c:v>
                </c:pt>
                <c:pt idx="1">
                  <c:v>16.11538461538462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90-4455-9B41-A971BDC39FC2}"/>
            </c:ext>
          </c:extLst>
        </c:ser>
        <c:ser>
          <c:idx val="3"/>
          <c:order val="3"/>
          <c:tx>
            <c:strRef>
              <c:f>összesítő!$K$40</c:f>
              <c:strCache>
                <c:ptCount val="1"/>
                <c:pt idx="0">
                  <c:v>Jászberény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összesítő!$G$41:$G$42</c:f>
              <c:strCache>
                <c:ptCount val="2"/>
                <c:pt idx="0">
                  <c:v>átlag</c:v>
                </c:pt>
                <c:pt idx="1">
                  <c:v>maximum</c:v>
                </c:pt>
              </c:strCache>
            </c:strRef>
          </c:cat>
          <c:val>
            <c:numRef>
              <c:f>összesítő!$K$41:$K$42</c:f>
              <c:numCache>
                <c:formatCode>0.00</c:formatCode>
                <c:ptCount val="2"/>
                <c:pt idx="0">
                  <c:v>3.7793269230769235</c:v>
                </c:pt>
                <c:pt idx="1">
                  <c:v>19.719780219780226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90-4455-9B41-A971BDC39FC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86743823"/>
        <c:axId val="786745071"/>
      </c:barChart>
      <c:catAx>
        <c:axId val="786743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786745071"/>
        <c:crosses val="autoZero"/>
        <c:auto val="1"/>
        <c:lblAlgn val="ctr"/>
        <c:lblOffset val="100"/>
        <c:noMultiLvlLbl val="0"/>
      </c:catAx>
      <c:valAx>
        <c:axId val="78674507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786743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Egyetemi egyéb kihasználtság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eger_egyéb!$CO$268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5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eger_egyéb!$CP$267:$DA$267</c:f>
              <c:strCache>
                <c:ptCount val="12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  <c:pt idx="9">
                  <c:v>Spatak</c:v>
                </c:pt>
                <c:pt idx="10">
                  <c:v>Gyöngyös</c:v>
                </c:pt>
                <c:pt idx="11">
                  <c:v>Jberény</c:v>
                </c:pt>
              </c:strCache>
            </c:strRef>
          </c:cat>
          <c:val>
            <c:numRef>
              <c:f>eger_egyéb!$CP$268:$DA$268</c:f>
              <c:numCache>
                <c:formatCode>0.00%</c:formatCode>
                <c:ptCount val="12"/>
                <c:pt idx="0">
                  <c:v>0.12412053496612319</c:v>
                </c:pt>
                <c:pt idx="1">
                  <c:v>9.9641027375402383E-2</c:v>
                </c:pt>
                <c:pt idx="2">
                  <c:v>1.7816442816442814E-2</c:v>
                </c:pt>
                <c:pt idx="3">
                  <c:v>3.4739180572513899E-2</c:v>
                </c:pt>
                <c:pt idx="4">
                  <c:v>9.4246940229083087E-2</c:v>
                </c:pt>
                <c:pt idx="5">
                  <c:v>0.10285027472527473</c:v>
                </c:pt>
                <c:pt idx="6">
                  <c:v>0.11828449328449331</c:v>
                </c:pt>
                <c:pt idx="7">
                  <c:v>7.4118589743589758E-2</c:v>
                </c:pt>
                <c:pt idx="8">
                  <c:v>5.3646610591055043E-2</c:v>
                </c:pt>
                <c:pt idx="9">
                  <c:v>9.5845098188848191E-2</c:v>
                </c:pt>
                <c:pt idx="10">
                  <c:v>7.1479446479446485E-2</c:v>
                </c:pt>
                <c:pt idx="11">
                  <c:v>5.2490651709401717E-2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A3-428B-8E8C-46B8DB6C14A8}"/>
            </c:ext>
          </c:extLst>
        </c:ser>
        <c:ser>
          <c:idx val="1"/>
          <c:order val="1"/>
          <c:tx>
            <c:strRef>
              <c:f>eger_egyéb!$CO$269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eger_egyéb!$CP$267:$DA$267</c:f>
              <c:strCache>
                <c:ptCount val="12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  <c:pt idx="9">
                  <c:v>Spatak</c:v>
                </c:pt>
                <c:pt idx="10">
                  <c:v>Gyöngyös</c:v>
                </c:pt>
                <c:pt idx="11">
                  <c:v>Jberény</c:v>
                </c:pt>
              </c:strCache>
            </c:strRef>
          </c:cat>
          <c:val>
            <c:numRef>
              <c:f>eger_egyéb!$CP$269:$DA$269</c:f>
              <c:numCache>
                <c:formatCode>0.00%</c:formatCode>
                <c:ptCount val="12"/>
                <c:pt idx="0">
                  <c:v>0.64555352055352067</c:v>
                </c:pt>
                <c:pt idx="1">
                  <c:v>0.56669719169719179</c:v>
                </c:pt>
                <c:pt idx="2">
                  <c:v>0.12029405779405776</c:v>
                </c:pt>
                <c:pt idx="3">
                  <c:v>8.8776963776963758E-2</c:v>
                </c:pt>
                <c:pt idx="4">
                  <c:v>0.41119759869759881</c:v>
                </c:pt>
                <c:pt idx="5">
                  <c:v>0.34503459503459505</c:v>
                </c:pt>
                <c:pt idx="6">
                  <c:v>0.44894688644688657</c:v>
                </c:pt>
                <c:pt idx="7">
                  <c:v>0.17984330484330482</c:v>
                </c:pt>
                <c:pt idx="8">
                  <c:v>0.21375152625152624</c:v>
                </c:pt>
                <c:pt idx="9">
                  <c:v>0.32036019536019539</c:v>
                </c:pt>
                <c:pt idx="10">
                  <c:v>0.27731990231990239</c:v>
                </c:pt>
                <c:pt idx="11">
                  <c:v>0.35863095238095244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A3-428B-8E8C-46B8DB6C14A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5644703"/>
        <c:axId val="415651775"/>
      </c:barChart>
      <c:catAx>
        <c:axId val="4156447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5651775"/>
        <c:crosses val="autoZero"/>
        <c:auto val="1"/>
        <c:lblAlgn val="ctr"/>
        <c:lblOffset val="100"/>
        <c:noMultiLvlLbl val="0"/>
      </c:catAx>
      <c:valAx>
        <c:axId val="4156517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5644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Egyetemi egyéb óraszám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eger_egyéb!$CO$273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5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eger_egyéb!$CP$272:$DA$272</c:f>
              <c:strCache>
                <c:ptCount val="12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  <c:pt idx="9">
                  <c:v>Spatak</c:v>
                </c:pt>
                <c:pt idx="10">
                  <c:v>Gyöngyös</c:v>
                </c:pt>
                <c:pt idx="11">
                  <c:v>Jberény</c:v>
                </c:pt>
              </c:strCache>
            </c:strRef>
          </c:cat>
          <c:val>
            <c:numRef>
              <c:f>eger_egyéb!$CP$273:$DA$273</c:f>
              <c:numCache>
                <c:formatCode>0.00</c:formatCode>
                <c:ptCount val="12"/>
                <c:pt idx="0">
                  <c:v>8.9366785175608712</c:v>
                </c:pt>
                <c:pt idx="1">
                  <c:v>7.1741539710289723</c:v>
                </c:pt>
                <c:pt idx="2">
                  <c:v>1.2827838827838824</c:v>
                </c:pt>
                <c:pt idx="3">
                  <c:v>2.5012210012210012</c:v>
                </c:pt>
                <c:pt idx="4">
                  <c:v>6.7857796964939823</c:v>
                </c:pt>
                <c:pt idx="5">
                  <c:v>7.405219780219781</c:v>
                </c:pt>
                <c:pt idx="6">
                  <c:v>8.5164835164835182</c:v>
                </c:pt>
                <c:pt idx="7">
                  <c:v>5.3365384615384626</c:v>
                </c:pt>
                <c:pt idx="8">
                  <c:v>3.8625559625559625</c:v>
                </c:pt>
                <c:pt idx="9">
                  <c:v>6.9008470695970701</c:v>
                </c:pt>
                <c:pt idx="10">
                  <c:v>5.1465201465201478</c:v>
                </c:pt>
                <c:pt idx="11">
                  <c:v>3.7793269230769235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9-42A6-BA70-16F8C40770BD}"/>
            </c:ext>
          </c:extLst>
        </c:ser>
        <c:ser>
          <c:idx val="1"/>
          <c:order val="1"/>
          <c:tx>
            <c:strRef>
              <c:f>eger_egyéb!$CO$274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eger_egyéb!$CP$272:$DA$272</c:f>
              <c:strCache>
                <c:ptCount val="12"/>
                <c:pt idx="0">
                  <c:v>A épület</c:v>
                </c:pt>
                <c:pt idx="1">
                  <c:v>B épület</c:v>
                </c:pt>
                <c:pt idx="2">
                  <c:v>Bartók tér</c:v>
                </c:pt>
                <c:pt idx="3">
                  <c:v>C épület</c:v>
                </c:pt>
                <c:pt idx="4">
                  <c:v>D épület</c:v>
                </c:pt>
                <c:pt idx="5">
                  <c:v>E épület</c:v>
                </c:pt>
                <c:pt idx="6">
                  <c:v>Érsekkert</c:v>
                </c:pt>
                <c:pt idx="7">
                  <c:v>F épület</c:v>
                </c:pt>
                <c:pt idx="8">
                  <c:v>Külső helyszín</c:v>
                </c:pt>
                <c:pt idx="9">
                  <c:v>Spatak</c:v>
                </c:pt>
                <c:pt idx="10">
                  <c:v>Gyöngyös</c:v>
                </c:pt>
                <c:pt idx="11">
                  <c:v>Jberény</c:v>
                </c:pt>
              </c:strCache>
            </c:strRef>
          </c:cat>
          <c:val>
            <c:numRef>
              <c:f>eger_egyéb!$CP$274:$DA$274</c:f>
              <c:numCache>
                <c:formatCode>0.00</c:formatCode>
                <c:ptCount val="12"/>
                <c:pt idx="0">
                  <c:v>34.579670329670336</c:v>
                </c:pt>
                <c:pt idx="1">
                  <c:v>37.913919413919423</c:v>
                </c:pt>
                <c:pt idx="2">
                  <c:v>5.8131868131868112</c:v>
                </c:pt>
                <c:pt idx="3">
                  <c:v>6.3919413919413914</c:v>
                </c:pt>
                <c:pt idx="4">
                  <c:v>23.320512820512821</c:v>
                </c:pt>
                <c:pt idx="5">
                  <c:v>22.197802197802201</c:v>
                </c:pt>
                <c:pt idx="6">
                  <c:v>25.489010989010993</c:v>
                </c:pt>
                <c:pt idx="7">
                  <c:v>8.9743589743589762</c:v>
                </c:pt>
                <c:pt idx="8">
                  <c:v>10.358974358974359</c:v>
                </c:pt>
                <c:pt idx="9">
                  <c:v>17.85347985347985</c:v>
                </c:pt>
                <c:pt idx="10">
                  <c:v>16.11538461538462</c:v>
                </c:pt>
                <c:pt idx="11">
                  <c:v>19.719780219780223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C9-42A6-BA70-16F8C40770B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15648447"/>
        <c:axId val="415649279"/>
      </c:barChart>
      <c:catAx>
        <c:axId val="4156484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5649279"/>
        <c:crosses val="autoZero"/>
        <c:auto val="1"/>
        <c:lblAlgn val="ctr"/>
        <c:lblOffset val="100"/>
        <c:noMultiLvlLbl val="0"/>
      </c:catAx>
      <c:valAx>
        <c:axId val="41564927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15648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B épület átlag és maximális óraszámai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eger!$CV$258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eger!$CW$257:$DB$257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eger!$CW$258:$DB$258</c:f>
              <c:numCache>
                <c:formatCode>0.00</c:formatCode>
                <c:ptCount val="6"/>
                <c:pt idx="0">
                  <c:v>54.013377926421398</c:v>
                </c:pt>
                <c:pt idx="1">
                  <c:v>51.279503105590059</c:v>
                </c:pt>
                <c:pt idx="2">
                  <c:v>52.143812709030101</c:v>
                </c:pt>
                <c:pt idx="3">
                  <c:v>49.742236024844722</c:v>
                </c:pt>
                <c:pt idx="4">
                  <c:v>52.137123745819387</c:v>
                </c:pt>
                <c:pt idx="5">
                  <c:v>47.996894409937887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1-48F2-9670-FC618F754E4C}"/>
            </c:ext>
          </c:extLst>
        </c:ser>
        <c:ser>
          <c:idx val="1"/>
          <c:order val="1"/>
          <c:tx>
            <c:strRef>
              <c:f>eger!$CV$259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eger!$CW$257:$DB$257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eger!$CW$259:$DB$259</c:f>
              <c:numCache>
                <c:formatCode>0.00</c:formatCode>
                <c:ptCount val="6"/>
                <c:pt idx="0">
                  <c:v>68.307692307692278</c:v>
                </c:pt>
                <c:pt idx="1">
                  <c:v>61.571428571428548</c:v>
                </c:pt>
                <c:pt idx="2">
                  <c:v>61.461538461538439</c:v>
                </c:pt>
                <c:pt idx="3">
                  <c:v>59.428571428571409</c:v>
                </c:pt>
                <c:pt idx="4">
                  <c:v>64.307692307692278</c:v>
                </c:pt>
                <c:pt idx="5">
                  <c:v>57.714285714285687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1-48F2-9670-FC618F754E4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202172480"/>
        <c:axId val="202168320"/>
      </c:barChart>
      <c:catAx>
        <c:axId val="20217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2168320"/>
        <c:crosses val="autoZero"/>
        <c:auto val="1"/>
        <c:lblAlgn val="ctr"/>
        <c:lblOffset val="100"/>
        <c:noMultiLvlLbl val="0"/>
      </c:catAx>
      <c:valAx>
        <c:axId val="2021683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21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C épület oktatótermeinek átlagos és maximális kihasználtsága (2015-2018)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eger_tanterem!$CM$280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eger_tanterem!$CN$279:$CS$279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eger_tanterem!$CN$280:$CS$280</c:f>
              <c:numCache>
                <c:formatCode>0.00%</c:formatCode>
                <c:ptCount val="6"/>
                <c:pt idx="0">
                  <c:v>0.45861448493027457</c:v>
                </c:pt>
                <c:pt idx="1">
                  <c:v>0.42371553884711793</c:v>
                </c:pt>
                <c:pt idx="2">
                  <c:v>0.43747188484030614</c:v>
                </c:pt>
                <c:pt idx="3">
                  <c:v>0.4652255639097746</c:v>
                </c:pt>
                <c:pt idx="4">
                  <c:v>0.52103013945119214</c:v>
                </c:pt>
                <c:pt idx="5">
                  <c:v>0.49128028404344215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D-45E3-9718-E90B8BEFB7A1}"/>
            </c:ext>
          </c:extLst>
        </c:ser>
        <c:ser>
          <c:idx val="1"/>
          <c:order val="1"/>
          <c:tx>
            <c:strRef>
              <c:f>eger_tanterem!$CM$281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eger_tanterem!$CN$279:$CS$279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eger_tanterem!$CN$281:$CS$281</c:f>
              <c:numCache>
                <c:formatCode>0.00%</c:formatCode>
                <c:ptCount val="6"/>
                <c:pt idx="0">
                  <c:v>0.88995726495726457</c:v>
                </c:pt>
                <c:pt idx="1">
                  <c:v>0.85714285714285687</c:v>
                </c:pt>
                <c:pt idx="2">
                  <c:v>0.83440170940170921</c:v>
                </c:pt>
                <c:pt idx="3">
                  <c:v>0.79563492063492047</c:v>
                </c:pt>
                <c:pt idx="4">
                  <c:v>0.86538461538461509</c:v>
                </c:pt>
                <c:pt idx="5">
                  <c:v>0.83630952380952384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DD-45E3-9718-E90B8BEFB7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5802592"/>
        <c:axId val="255803840"/>
      </c:barChart>
      <c:catAx>
        <c:axId val="255802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803840"/>
        <c:crosses val="autoZero"/>
        <c:auto val="1"/>
        <c:lblAlgn val="ctr"/>
        <c:lblOffset val="100"/>
        <c:noMultiLvlLbl val="0"/>
      </c:catAx>
      <c:valAx>
        <c:axId val="25580384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5580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C épület átlagos és maximális óraszámai</a:t>
            </a:r>
          </a:p>
          <a:p>
            <a:pPr>
              <a:defRPr/>
            </a:pPr>
            <a:endParaRPr lang="hu-H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eger!$CV$280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eger!$CW$279:$DB$279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eger!$CW$280:$DB$280</c:f>
              <c:numCache>
                <c:formatCode>0.00</c:formatCode>
                <c:ptCount val="6"/>
                <c:pt idx="0">
                  <c:v>33.020242914979761</c:v>
                </c:pt>
                <c:pt idx="1">
                  <c:v>30.507518796992485</c:v>
                </c:pt>
                <c:pt idx="2">
                  <c:v>31.497975708502036</c:v>
                </c:pt>
                <c:pt idx="3">
                  <c:v>33.496240601503764</c:v>
                </c:pt>
                <c:pt idx="4">
                  <c:v>39.598290598290603</c:v>
                </c:pt>
                <c:pt idx="5">
                  <c:v>37.337301587301603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DC-4820-844C-34946D9AF114}"/>
            </c:ext>
          </c:extLst>
        </c:ser>
        <c:ser>
          <c:idx val="1"/>
          <c:order val="1"/>
          <c:tx>
            <c:strRef>
              <c:f>eger!$CV$281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eger!$CW$279:$DB$279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eger!$CW$281:$DB$281</c:f>
              <c:numCache>
                <c:formatCode>0.00</c:formatCode>
                <c:ptCount val="6"/>
                <c:pt idx="0">
                  <c:v>56.076923076923066</c:v>
                </c:pt>
                <c:pt idx="1">
                  <c:v>55.714285714285715</c:v>
                </c:pt>
                <c:pt idx="2">
                  <c:v>49.538461538461547</c:v>
                </c:pt>
                <c:pt idx="3">
                  <c:v>56.857142857142847</c:v>
                </c:pt>
                <c:pt idx="4">
                  <c:v>49.923076923076934</c:v>
                </c:pt>
                <c:pt idx="5">
                  <c:v>54.857142857142861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DC-4820-844C-34946D9AF1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04507151"/>
        <c:axId val="104510063"/>
      </c:barChart>
      <c:catAx>
        <c:axId val="1045071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04510063"/>
        <c:crosses val="autoZero"/>
        <c:auto val="1"/>
        <c:lblAlgn val="ctr"/>
        <c:lblOffset val="100"/>
        <c:noMultiLvlLbl val="0"/>
      </c:catAx>
      <c:valAx>
        <c:axId val="10451006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45071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D épület átlagos és maximális kihasználtsága (2015-18)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eger_tanterem!$CM$295</c:f>
              <c:strCache>
                <c:ptCount val="1"/>
                <c:pt idx="0">
                  <c:v>átlag</c:v>
                </c:pt>
              </c:strCache>
            </c:strRef>
          </c:tx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eger_tanterem!$CN$294:$CS$294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eger_tanterem!$CN$295:$CS$295</c:f>
              <c:numCache>
                <c:formatCode>0.00%</c:formatCode>
                <c:ptCount val="6"/>
                <c:pt idx="0">
                  <c:v>0.46714743589743596</c:v>
                </c:pt>
                <c:pt idx="1">
                  <c:v>0.42832341269841284</c:v>
                </c:pt>
                <c:pt idx="2">
                  <c:v>0.44720441595441612</c:v>
                </c:pt>
                <c:pt idx="3">
                  <c:v>0.43973214285714296</c:v>
                </c:pt>
                <c:pt idx="4">
                  <c:v>0.45779914529914528</c:v>
                </c:pt>
                <c:pt idx="5">
                  <c:v>0.40682870370370378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8-46B1-A37A-116BA429E021}"/>
            </c:ext>
          </c:extLst>
        </c:ser>
        <c:ser>
          <c:idx val="1"/>
          <c:order val="1"/>
          <c:tx>
            <c:strRef>
              <c:f>eger_tanterem!$CM$296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accent6">
                <a:tint val="77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eger_tanterem!$CN$294:$CS$294</c:f>
              <c:strCache>
                <c:ptCount val="6"/>
                <c:pt idx="0">
                  <c:v>2015/16/1</c:v>
                </c:pt>
                <c:pt idx="1">
                  <c:v>2015/16/2</c:v>
                </c:pt>
                <c:pt idx="2">
                  <c:v>2016/17/1</c:v>
                </c:pt>
                <c:pt idx="3">
                  <c:v>2016/17/2</c:v>
                </c:pt>
                <c:pt idx="4">
                  <c:v>2017/18/1</c:v>
                </c:pt>
                <c:pt idx="5">
                  <c:v>2017/18/2</c:v>
                </c:pt>
              </c:strCache>
            </c:strRef>
          </c:cat>
          <c:val>
            <c:numRef>
              <c:f>eger_tanterem!$CN$296:$CS$296</c:f>
              <c:numCache>
                <c:formatCode>0.00%</c:formatCode>
                <c:ptCount val="6"/>
                <c:pt idx="0">
                  <c:v>0.88568376068376031</c:v>
                </c:pt>
                <c:pt idx="1">
                  <c:v>0.77182539682539675</c:v>
                </c:pt>
                <c:pt idx="2">
                  <c:v>0.77136752136752129</c:v>
                </c:pt>
                <c:pt idx="3">
                  <c:v>0.75892857142857151</c:v>
                </c:pt>
                <c:pt idx="4">
                  <c:v>0.78632478632478631</c:v>
                </c:pt>
                <c:pt idx="5">
                  <c:v>0.78769841269841256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18-46B1-A37A-116BA429E02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1410079"/>
        <c:axId val="221403839"/>
      </c:barChart>
      <c:catAx>
        <c:axId val="22141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1403839"/>
        <c:crosses val="autoZero"/>
        <c:auto val="1"/>
        <c:lblAlgn val="ctr"/>
        <c:lblOffset val="100"/>
        <c:noMultiLvlLbl val="0"/>
      </c:catAx>
      <c:valAx>
        <c:axId val="22140383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141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8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2018.05 hó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65944-B9D1-47EC-A8EF-4F8C0441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5535</Words>
  <Characters>38192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teremkihasználtság vizsgálata az Eszterházy Károly Egyetemen</vt:lpstr>
    </vt:vector>
  </TitlesOfParts>
  <Company>Elemző Iroda</Company>
  <LinksUpToDate>false</LinksUpToDate>
  <CharactersWithSpaces>43640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teremkihasználtság vizsgálata az Eszterházy Károly Egyetemen</dc:title>
  <dc:subject/>
  <dc:creator>Oktatási Igazgatóság</dc:creator>
  <cp:keywords/>
  <dc:description/>
  <cp:lastModifiedBy>Bodolai Mónika</cp:lastModifiedBy>
  <cp:revision>3</cp:revision>
  <dcterms:created xsi:type="dcterms:W3CDTF">2019-03-21T12:56:00Z</dcterms:created>
  <dcterms:modified xsi:type="dcterms:W3CDTF">2019-03-26T13:55:00Z</dcterms:modified>
</cp:coreProperties>
</file>