
<file path=[Content_Types].xml><?xml version="1.0" encoding="utf-8"?>
<Types xmlns="http://schemas.openxmlformats.org/package/2006/content-types">
  <Default Extension="xml" ContentType="application/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2.xml" ContentType="application/vnd.openxmlformats-officedocument.customXmlPropertie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10.xml" ContentType="application/vnd.openxmlformats-officedocument.drawingml.chart+xml"/>
  <Override PartName="/word/charts/chart35.xml" ContentType="application/vnd.openxmlformats-officedocument.drawingml.chart+xml"/>
  <Override PartName="/word/charts/chart11.xml" ContentType="application/vnd.openxmlformats-officedocument.drawingml.chart+xml"/>
  <Override PartName="/word/charts/chart36.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8.xml" ContentType="application/vnd.openxmlformats-officedocument.drawingml.chart+xml"/>
  <Override PartName="/word/charts/chart18.xml" ContentType="application/vnd.openxmlformats-officedocument.drawingml.chart+xml"/>
  <Override PartName="/word/charts/chart7.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7.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14.xml" ContentType="application/vnd.openxmlformats-officedocument.drawingml.chart+xml"/>
  <Override PartName="/word/charts/chart3.xml" ContentType="application/vnd.openxmlformats-officedocument.drawingml.chart+xml"/>
  <Override PartName="/word/charts/chart1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5.xml" ContentType="application/vnd.openxmlformats-officedocument.drawingml.chart+xml"/>
  <Override PartName="/word/charts/chart17.xml" ContentType="application/vnd.openxmlformats-officedocument.drawingml.chart+xml"/>
  <Override PartName="/word/charts/chart6.xml" ContentType="application/vnd.openxmlformats-officedocument.drawingml.chart+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1318958388"/>
      </w:sdtPr>
      <w:sdtContent>
        <w:p>
          <w:pPr>
            <w:pStyle w:val="NoSpacing"/>
            <w:rPr/>
          </w:pPr>
          <w:r>
            <w:rPr/>
            <mc:AlternateContent>
              <mc:Choice Requires="wpg">
                <w:drawing>
                  <wp:anchor behindDoc="1" distT="0" distB="0" distL="114300" distR="114300" simplePos="0" locked="0" layoutInCell="1" allowOverlap="1" relativeHeight="46" wp14:anchorId="55A616A1">
                    <wp:simplePos x="0" y="0"/>
                    <wp:positionH relativeFrom="page">
                      <wp:posOffset>302260</wp:posOffset>
                    </wp:positionH>
                    <wp:positionV relativeFrom="page">
                      <wp:align>center</wp:align>
                    </wp:positionV>
                    <wp:extent cx="1334135" cy="9126220"/>
                    <wp:effectExtent l="0" t="0" r="0" b="15240"/>
                    <wp:wrapNone/>
                    <wp:docPr id="1" name="Csoport 2"/>
                    <a:graphic xmlns:a="http://schemas.openxmlformats.org/drawingml/2006/main">
                      <a:graphicData uri="http://schemas.microsoft.com/office/word/2010/wordprocessingGroup">
                        <wpg:wgp>
                          <wpg:cNvGrpSpPr/>
                          <wpg:grpSpPr>
                            <a:xfrm>
                              <a:off x="0" y="0"/>
                              <a:ext cx="1333440" cy="9125640"/>
                            </a:xfrm>
                          </wpg:grpSpPr>
                          <wps:wsp>
                            <wps:cNvSpPr/>
                            <wps:spPr>
                              <a:xfrm>
                                <a:off x="0" y="0"/>
                                <a:ext cx="117360" cy="9125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bodyPr/>
                          </wps:wsp>
                          <wps:wsp>
                            <wps:cNvSpPr/>
                            <wps:spPr>
                              <a:xfrm>
                                <a:off x="0" y="1467000"/>
                                <a:ext cx="1333440" cy="551160"/>
                              </a:xfrm>
                              <a:prstGeom prst="homePlate">
                                <a:avLst>
                                  <a:gd name="adj" fmla="val 50000"/>
                                </a:avLst>
                              </a:prstGeom>
                              <a:ln>
                                <a:noFill/>
                              </a:ln>
                            </wps:spPr>
                            <wps:style>
                              <a:lnRef idx="2">
                                <a:schemeClr val="accent1">
                                  <a:shade val="50000"/>
                                </a:schemeClr>
                              </a:lnRef>
                              <a:fillRef idx="1">
                                <a:schemeClr val="accent1"/>
                              </a:fillRef>
                              <a:effectRef idx="0">
                                <a:schemeClr val="accent1"/>
                              </a:effectRef>
                              <a:fontRef idx="minor"/>
                            </wps:style>
                            <wps:txbx>
                              <w:txbxContent>
                                <w:p>
                                  <w:pPr>
                                    <w:overflowPunct w:val="false"/>
                                    <w:spacing w:before="0" w:after="0" w:lineRule="auto" w:line="240"/>
                                    <w:jc w:val="right"/>
                                    <w:rPr/>
                                  </w:pPr>
                                  <w:r>
                                    <w:rPr>
                                      <w:sz w:val="28"/>
                                      <w:b w:val="false"/>
                                      <w:u w:val="none"/>
                                      <w:dstrike w:val="false"/>
                                      <w:strike w:val="false"/>
                                      <w:i w:val="false"/>
                                      <w:vertAlign w:val="baseline"/>
                                      <w:position w:val="0"/>
                                      <w:spacing w:val="0"/>
                                      <w:szCs w:val="28"/>
                                      <w:bCs w:val="false"/>
                                      <w:iCs w:val="false"/>
                                      <w:smallCaps w:val="false"/>
                                      <w:caps w:val="false"/>
                                      <w:rFonts w:ascii="Calibri" w:hAnsi="Calibri"/>
                                      <w:color w:val="FFFFFF"/>
                                    </w:rPr>
                                    <w:t>2018. augusztus</w:t>
                                  </w:r>
                                </w:p>
                              </w:txbxContent>
                            </wps:txbx>
                            <wps:bodyPr rIns="182880" tIns="0" bIns="0" anchor="ctr">
                              <a:noAutofit/>
                            </wps:bodyPr>
                          </wps:wsp>
                          <wpg:grpSp>
                            <wpg:cNvGrpSpPr/>
                            <wpg:grpSpPr>
                              <a:xfrm>
                                <a:off x="46440" y="4210200"/>
                                <a:ext cx="1250280" cy="4910400"/>
                              </a:xfrm>
                            </wpg:grpSpPr>
                            <wpg:grpSp>
                              <wpg:cNvGrpSpPr/>
                              <wpg:grpSpPr>
                                <a:xfrm>
                                  <a:off x="57600" y="0"/>
                                  <a:ext cx="1003320" cy="4910400"/>
                                </a:xfrm>
                              </wpg:grpSpPr>
                              <wps:wsp>
                                <wps:cNvSpPr/>
                                <wps:spPr>
                                  <a:xfrm>
                                    <a:off x="219240" y="3155040"/>
                                    <a:ext cx="184680" cy="1098720"/>
                                  </a:xfrm>
                                  <a:custGeom>
                                    <a:avLst/>
                                    <a:gdLst/>
                                    <a:ahLst/>
                                    <a:rect l="l" t="t"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13640" y="4239000"/>
                                    <a:ext cx="176400" cy="671040"/>
                                  </a:xfrm>
                                  <a:custGeom>
                                    <a:avLst/>
                                    <a:gdLst/>
                                    <a:ahLst/>
                                    <a:rect l="l" t="t"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0" y="0"/>
                                    <a:ext cx="212040" cy="3177000"/>
                                  </a:xfrm>
                                  <a:custGeom>
                                    <a:avLst/>
                                    <a:gdLst/>
                                    <a:ahLst/>
                                    <a:rect l="l" t="t"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191880" y="1022040"/>
                                    <a:ext cx="68040" cy="2132280"/>
                                  </a:xfrm>
                                  <a:custGeom>
                                    <a:avLst/>
                                    <a:gdLst/>
                                    <a:ahLst/>
                                    <a:rect l="l" t="t"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a:solidFill>
                                      <a:schemeClr val="tx2"/>
                                    </a:solidFill>
                                  </a:ln>
                                </wps:spPr>
                                <wps:style>
                                  <a:lnRef idx="0"/>
                                  <a:fillRef idx="0"/>
                                  <a:effectRef idx="0"/>
                                  <a:fontRef idx="minor"/>
                                </wps:style>
                                <wps:bodyPr/>
                              </wps:wsp>
                              <wps:wsp>
                                <wps:cNvSpPr/>
                                <wps:spPr>
                                  <a:xfrm>
                                    <a:off x="212760" y="3177360"/>
                                    <a:ext cx="232920" cy="1570320"/>
                                  </a:xfrm>
                                  <a:custGeom>
                                    <a:avLst/>
                                    <a:gdLst/>
                                    <a:ahLst/>
                                    <a:rect l="l" t="t"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59360" y="4738320"/>
                                    <a:ext cx="49680" cy="171360"/>
                                  </a:xfrm>
                                  <a:custGeom>
                                    <a:avLst/>
                                    <a:gdLst/>
                                    <a:ahLst/>
                                    <a:rect l="l" t="t" r="r" b="b"/>
                                    <a:pathLst>
                                      <a:path w="33" h="69">
                                        <a:moveTo>
                                          <a:pt x="0" y="0"/>
                                        </a:moveTo>
                                        <a:lnTo>
                                          <a:pt x="33" y="69"/>
                                        </a:lnTo>
                                        <a:lnTo>
                                          <a:pt x="24" y="69"/>
                                        </a:lnTo>
                                        <a:lnTo>
                                          <a:pt x="12" y="3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205200" y="3054960"/>
                                    <a:ext cx="22320" cy="231840"/>
                                  </a:xfrm>
                                  <a:custGeom>
                                    <a:avLst/>
                                    <a:gdLst/>
                                    <a:ahLst/>
                                    <a:rect l="l" t="t" r="r" b="b"/>
                                    <a:pathLst>
                                      <a:path w="15" h="93">
                                        <a:moveTo>
                                          <a:pt x="0" y="0"/>
                                        </a:moveTo>
                                        <a:lnTo>
                                          <a:pt x="9" y="37"/>
                                        </a:lnTo>
                                        <a:lnTo>
                                          <a:pt x="9" y="40"/>
                                        </a:lnTo>
                                        <a:lnTo>
                                          <a:pt x="15" y="93"/>
                                        </a:lnTo>
                                        <a:lnTo>
                                          <a:pt x="5" y="49"/>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04640" y="2325960"/>
                                    <a:ext cx="598680" cy="1912680"/>
                                  </a:xfrm>
                                  <a:custGeom>
                                    <a:avLst/>
                                    <a:gdLst/>
                                    <a:ahLst/>
                                    <a:rect l="l" t="t"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a:solidFill>
                                      <a:schemeClr val="tx2"/>
                                    </a:solidFill>
                                  </a:ln>
                                </wps:spPr>
                                <wps:style>
                                  <a:lnRef idx="0"/>
                                  <a:fillRef idx="0"/>
                                  <a:effectRef idx="0"/>
                                  <a:fontRef idx="minor"/>
                                </wps:style>
                                <wps:bodyPr/>
                              </wps:wsp>
                              <wps:wsp>
                                <wps:cNvSpPr/>
                                <wps:spPr>
                                  <a:xfrm>
                                    <a:off x="404640" y="4253760"/>
                                    <a:ext cx="54000" cy="483840"/>
                                  </a:xfrm>
                                  <a:custGeom>
                                    <a:avLst/>
                                    <a:gdLst/>
                                    <a:ahLst/>
                                    <a:rect l="l" t="t"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47120" y="4748400"/>
                                    <a:ext cx="46440" cy="162000"/>
                                  </a:xfrm>
                                  <a:custGeom>
                                    <a:avLst/>
                                    <a:gdLst/>
                                    <a:ahLst/>
                                    <a:rect l="l" t="t" r="r" b="b"/>
                                    <a:pathLst>
                                      <a:path w="31" h="65">
                                        <a:moveTo>
                                          <a:pt x="0" y="0"/>
                                        </a:moveTo>
                                        <a:lnTo>
                                          <a:pt x="31" y="65"/>
                                        </a:lnTo>
                                        <a:lnTo>
                                          <a:pt x="23" y="65"/>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04640" y="4196520"/>
                                    <a:ext cx="10080" cy="104040"/>
                                  </a:xfrm>
                                  <a:custGeom>
                                    <a:avLst/>
                                    <a:gdLst/>
                                    <a:ahLst/>
                                    <a:rect l="l" t="t" r="r" b="b"/>
                                    <a:pathLst>
                                      <a:path w="7" h="42">
                                        <a:moveTo>
                                          <a:pt x="0" y="0"/>
                                        </a:moveTo>
                                        <a:lnTo>
                                          <a:pt x="6" y="17"/>
                                        </a:lnTo>
                                        <a:lnTo>
                                          <a:pt x="7" y="42"/>
                                        </a:lnTo>
                                        <a:lnTo>
                                          <a:pt x="6" y="39"/>
                                        </a:lnTo>
                                        <a:lnTo>
                                          <a:pt x="0" y="23"/>
                                        </a:lnTo>
                                        <a:lnTo>
                                          <a:pt x="0" y="0"/>
                                        </a:lnTo>
                                        <a:close/>
                                      </a:path>
                                    </a:pathLst>
                                  </a:custGeom>
                                  <a:solidFill>
                                    <a:schemeClr val="tx2"/>
                                  </a:solidFill>
                                  <a:ln>
                                    <a:solidFill>
                                      <a:schemeClr val="tx2"/>
                                    </a:solidFill>
                                  </a:ln>
                                </wps:spPr>
                                <wps:style>
                                  <a:lnRef idx="0"/>
                                  <a:fillRef idx="0"/>
                                  <a:effectRef idx="0"/>
                                  <a:fontRef idx="minor"/>
                                </wps:style>
                                <wps:bodyPr/>
                              </wps:wsp>
                              <wps:wsp>
                                <wps:cNvSpPr/>
                                <wps:spPr>
                                  <a:xfrm>
                                    <a:off x="427320" y="4616280"/>
                                    <a:ext cx="68040" cy="294120"/>
                                  </a:xfrm>
                                  <a:custGeom>
                                    <a:avLst/>
                                    <a:gdLst/>
                                    <a:ahLst/>
                                    <a:rect l="l" t="t"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a:solidFill>
                                      <a:schemeClr val="tx2"/>
                                    </a:solidFill>
                                  </a:ln>
                                </wps:spPr>
                                <wps:style>
                                  <a:lnRef idx="0"/>
                                  <a:fillRef idx="0"/>
                                  <a:effectRef idx="0"/>
                                  <a:fontRef idx="minor"/>
                                </wps:style>
                                <wps:bodyPr/>
                              </wps:wsp>
                            </wpg:grpSp>
                            <wpg:grpSp>
                              <wpg:cNvGrpSpPr/>
                              <wpg:grpSpPr>
                                <a:xfrm>
                                  <a:off x="0" y="968400"/>
                                  <a:ext cx="1250280" cy="3942000"/>
                                </a:xfrm>
                              </wpg:grpSpPr>
                              <wps:wsp>
                                <wps:cNvSpPr/>
                                <wps:spPr>
                                  <a:xfrm>
                                    <a:off x="54360" y="1267920"/>
                                    <a:ext cx="283320" cy="1677600"/>
                                  </a:xfrm>
                                  <a:custGeom>
                                    <a:avLst/>
                                    <a:gdLst/>
                                    <a:ahLst/>
                                    <a:rect l="l" t="t"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54240" y="2916360"/>
                                    <a:ext cx="267840" cy="1024920"/>
                                  </a:xfrm>
                                  <a:custGeom>
                                    <a:avLst/>
                                    <a:gdLst/>
                                    <a:ahLst/>
                                    <a:rect l="l" t="t"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0" y="847080"/>
                                    <a:ext cx="44280" cy="450720"/>
                                  </a:xfrm>
                                  <a:custGeom>
                                    <a:avLst/>
                                    <a:gdLst/>
                                    <a:ahLst/>
                                    <a:rect l="l" t="t" r="r" b="b"/>
                                    <a:pathLst>
                                      <a:path w="20" h="121">
                                        <a:moveTo>
                                          <a:pt x="0" y="0"/>
                                        </a:moveTo>
                                        <a:lnTo>
                                          <a:pt x="16" y="72"/>
                                        </a:lnTo>
                                        <a:lnTo>
                                          <a:pt x="20" y="121"/>
                                        </a:lnTo>
                                        <a:lnTo>
                                          <a:pt x="18" y="112"/>
                                        </a:lnTo>
                                        <a:lnTo>
                                          <a:pt x="0" y="31"/>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45720" y="1297800"/>
                                    <a:ext cx="358200" cy="2397600"/>
                                  </a:xfrm>
                                  <a:custGeom>
                                    <a:avLst/>
                                    <a:gdLst/>
                                    <a:ahLst/>
                                    <a:rect l="l" t="t"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422280" y="3677760"/>
                                    <a:ext cx="74160" cy="264240"/>
                                  </a:xfrm>
                                  <a:custGeom>
                                    <a:avLst/>
                                    <a:gdLst/>
                                    <a:ahLst/>
                                    <a:rect l="l" t="t" r="r" b="b"/>
                                    <a:pathLst>
                                      <a:path w="33" h="71">
                                        <a:moveTo>
                                          <a:pt x="0" y="0"/>
                                        </a:moveTo>
                                        <a:lnTo>
                                          <a:pt x="33" y="71"/>
                                        </a:lnTo>
                                        <a:lnTo>
                                          <a:pt x="24" y="71"/>
                                        </a:lnTo>
                                        <a:lnTo>
                                          <a:pt x="11" y="3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6000" y="1114920"/>
                                    <a:ext cx="33480" cy="353520"/>
                                  </a:xfrm>
                                  <a:custGeom>
                                    <a:avLst/>
                                    <a:gdLst/>
                                    <a:ahLst/>
                                    <a:rect l="l" t="t" r="r" b="b"/>
                                    <a:pathLst>
                                      <a:path w="15" h="95">
                                        <a:moveTo>
                                          <a:pt x="0" y="0"/>
                                        </a:moveTo>
                                        <a:lnTo>
                                          <a:pt x="8" y="37"/>
                                        </a:lnTo>
                                        <a:lnTo>
                                          <a:pt x="8" y="41"/>
                                        </a:lnTo>
                                        <a:lnTo>
                                          <a:pt x="15" y="95"/>
                                        </a:lnTo>
                                        <a:lnTo>
                                          <a:pt x="4" y="49"/>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38400" y="0"/>
                                    <a:ext cx="911880" cy="2916000"/>
                                  </a:xfrm>
                                  <a:custGeom>
                                    <a:avLst/>
                                    <a:gdLst/>
                                    <a:ahLst/>
                                    <a:rect l="l" t="t"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38400" y="2946240"/>
                                    <a:ext cx="83160" cy="730080"/>
                                  </a:xfrm>
                                  <a:custGeom>
                                    <a:avLst/>
                                    <a:gdLst/>
                                    <a:ahLst/>
                                    <a:rect l="l" t="t"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403920" y="3696120"/>
                                    <a:ext cx="69840" cy="245880"/>
                                  </a:xfrm>
                                  <a:custGeom>
                                    <a:avLst/>
                                    <a:gdLst/>
                                    <a:ahLst/>
                                    <a:rect l="l" t="t" r="r" b="b"/>
                                    <a:pathLst>
                                      <a:path w="31" h="66">
                                        <a:moveTo>
                                          <a:pt x="0" y="0"/>
                                        </a:moveTo>
                                        <a:lnTo>
                                          <a:pt x="31" y="66"/>
                                        </a:lnTo>
                                        <a:lnTo>
                                          <a:pt x="24" y="66"/>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38400" y="2853360"/>
                                    <a:ext cx="15120" cy="160200"/>
                                  </a:xfrm>
                                  <a:custGeom>
                                    <a:avLst/>
                                    <a:gdLst/>
                                    <a:ahLst/>
                                    <a:rect l="l" t="t" r="r" b="b"/>
                                    <a:pathLst>
                                      <a:path w="7" h="43">
                                        <a:moveTo>
                                          <a:pt x="0" y="0"/>
                                        </a:moveTo>
                                        <a:lnTo>
                                          <a:pt x="7" y="17"/>
                                        </a:lnTo>
                                        <a:lnTo>
                                          <a:pt x="7" y="43"/>
                                        </a:lnTo>
                                        <a:lnTo>
                                          <a:pt x="6" y="40"/>
                                        </a:lnTo>
                                        <a:lnTo>
                                          <a:pt x="0" y="25"/>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s:wsp>
                                <wps:cNvSpPr/>
                                <wps:spPr>
                                  <a:xfrm>
                                    <a:off x="371880" y="3490920"/>
                                    <a:ext cx="103680" cy="450720"/>
                                  </a:xfrm>
                                  <a:custGeom>
                                    <a:avLst/>
                                    <a:gdLst/>
                                    <a:ahLst/>
                                    <a:rect l="l" t="t"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a:solidFill>
                                      <a:schemeClr val="tx2">
                                        <a:alpha val="20000"/>
                                      </a:schemeClr>
                                    </a:solidFill>
                                  </a:ln>
                                </wps:spPr>
                                <wps:style>
                                  <a:lnRef idx="0"/>
                                  <a:fillRef idx="0"/>
                                  <a:effectRef idx="0"/>
                                  <a:fontRef idx="minor"/>
                                </wps:style>
                                <wps:bodyPr/>
                              </wps:wsp>
                            </wpg:grpSp>
                          </wpg:grpSp>
                        </wpg:wgp>
                      </a:graphicData>
                    </a:graphic>
                    <wp14:sizeRelV relativeFrom="page">
                      <wp14:pctHeight>95000</wp14:pctHeight>
                    </wp14:sizeRelV>
                  </wp:anchor>
                </w:drawing>
              </mc:Choice>
              <mc:Fallback>
                <w:pict>
                  <v:group id="shape_0" alt="Csoport 2" style="position:absolute;margin-left:23.8pt;margin-top:61.65pt;width:105pt;height:718.55pt" coordorigin="476,1233" coordsize="2100,14371">
                    <v:rect id="shape_0" ID="Téglalap 24" fillcolor="#44546a" stroked="f" style="position:absolute;left:476;top:1233;width:184;height:14370;mso-position-horizontal-relative:page;mso-position-vertical:center;mso-position-vertical-relative:page">
                      <w10:wrap type="none"/>
                      <v:fill o:detectmouseclick="t" type="solid" color2="#bbab95"/>
                      <v:stroke color="#3465a4" weight="12600" joinstyle="miter" endcap="flat"/>
                    </v:rect>
                    <v:shapetype id="shapetype_15" coordsize="21600,21600" o:spt="15" adj="10800" path="m,l@2,l21600,10800l@2,21600l,21600xe">
                      <v:stroke joinstyle="miter"/>
                      <v:formulas>
                        <v:f eqn="val 21600"/>
                        <v:f eqn="val #0"/>
                        <v:f eqn="sum width 0 @1"/>
                        <v:f eqn="sum @2 width 0"/>
                        <v:f eqn="prod 1 @3 2"/>
                        <v:f eqn="prod @2 1 2"/>
                      </v:formulas>
                      <v:path gradientshapeok="t" o:connecttype="rect" textboxrect="0,0,@4,21600"/>
                      <v:handles>
                        <v:h position="@2,0"/>
                      </v:handles>
                    </v:shapetype>
                    <v:shape id="shape_0" ID="Ötszög 28" fillcolor="#5b9bd5" stroked="f" style="position:absolute;left:476;top:3543;width:2099;height:867;mso-position-horizontal-relative:page;mso-position-vertical:center;mso-position-vertical-relative:page" type="shapetype_15">
                      <v:textbox>
                        <w:txbxContent>
                          <w:p>
                            <w:pPr>
                              <w:overflowPunct w:val="false"/>
                              <w:spacing w:before="0" w:after="0" w:lineRule="auto" w:line="240"/>
                              <w:jc w:val="right"/>
                              <w:rPr/>
                            </w:pPr>
                            <w:r>
                              <w:rPr>
                                <w:sz w:val="28"/>
                                <w:b w:val="false"/>
                                <w:u w:val="none"/>
                                <w:dstrike w:val="false"/>
                                <w:strike w:val="false"/>
                                <w:i w:val="false"/>
                                <w:vertAlign w:val="baseline"/>
                                <w:position w:val="0"/>
                                <w:spacing w:val="0"/>
                                <w:szCs w:val="28"/>
                                <w:bCs w:val="false"/>
                                <w:iCs w:val="false"/>
                                <w:smallCaps w:val="false"/>
                                <w:caps w:val="false"/>
                                <w:rFonts w:ascii="Calibri" w:hAnsi="Calibri"/>
                                <w:color w:val="FFFFFF"/>
                              </w:rPr>
                              <w:t>2018. augusztus</w:t>
                            </w:r>
                          </w:p>
                        </w:txbxContent>
                      </v:textbox>
                      <w10:wrap type="square"/>
                      <v:fill o:detectmouseclick="t" type="solid" color2="#a4642a"/>
                      <v:stroke color="#3465a4" weight="12600" joinstyle="miter" endcap="flat"/>
                    </v:shape>
                    <v:group id="shape_0" alt="Csoport 5" style="position:absolute;left:549;top:7863;width:1969;height:7733">
                      <v:group id="shape_0" alt="Csoport 6" style="position:absolute;left:640;top:7863;width:1580;height:7733"/>
                      <v:group id="shape_0" alt="Csoport 7" style="position:absolute;left:549;top:9388;width:1969;height:6208"/>
                    </v:group>
                  </v:group>
                </w:pict>
              </mc:Fallback>
            </mc:AlternateContent>
          </w:r>
        </w:p>
        <w:p>
          <w:pPr>
            <w:pStyle w:val="Normal"/>
            <w:rPr/>
          </w:pPr>
          <w:r>
            <w:rPr/>
            <mc:AlternateContent>
              <mc:Choice Requires="wps">
                <w:drawing>
                  <wp:anchor behindDoc="0" distT="0" distB="0" distL="114300" distR="114300" simplePos="0" locked="0" layoutInCell="1" allowOverlap="1" relativeHeight="47" wp14:anchorId="7EF278FA">
                    <wp:simplePos x="0" y="0"/>
                    <wp:positionH relativeFrom="page">
                      <wp:posOffset>1695450</wp:posOffset>
                    </wp:positionH>
                    <wp:positionV relativeFrom="page">
                      <wp:posOffset>1866900</wp:posOffset>
                    </wp:positionV>
                    <wp:extent cx="5525135" cy="1951355"/>
                    <wp:effectExtent l="0" t="0" r="0" b="0"/>
                    <wp:wrapNone/>
                    <wp:docPr id="2" name="Szövegdoboz 64"/>
                    <a:graphic xmlns:a="http://schemas.openxmlformats.org/drawingml/2006/main">
                      <a:graphicData uri="http://schemas.microsoft.com/office/word/2010/wordprocessingShape">
                        <wps:wsp>
                          <wps:cNvSpPr/>
                          <wps:spPr>
                            <a:xfrm>
                              <a:off x="0" y="0"/>
                              <a:ext cx="5524560" cy="195084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rPr>
                                    <w:rFonts w:ascii="Calibri Light" w:hAnsi="Calibri Light" w:eastAsia="" w:cs="" w:asciiTheme="majorHAnsi" w:cstheme="majorBidi" w:eastAsiaTheme="majorEastAsia" w:hAnsiTheme="majorHAnsi"/>
                                    <w:b/>
                                    <w:b/>
                                    <w:color w:val="262626" w:themeColor="text1" w:themeTint="d9"/>
                                    <w:sz w:val="72"/>
                                  </w:rPr>
                                </w:pPr>
                                <w:sdt>
                                  <w:sdtPr>
                                    <w:alias w:val="Cím"/>
                                  </w:sdtPr>
                                  <w:sdtContent>
                                    <w:r>
                                      <w:rPr>
                                        <w:rFonts w:eastAsia="" w:cs="" w:ascii="Calibri Light" w:hAnsi="Calibri Light" w:asciiTheme="majorHAnsi" w:cstheme="majorBidi" w:eastAsiaTheme="majorEastAsia" w:hAnsiTheme="majorHAnsi"/>
                                        <w:b/>
                                        <w:color w:val="262626" w:themeColor="text1" w:themeTint="d9"/>
                                        <w:sz w:val="72"/>
                                        <w:szCs w:val="72"/>
                                      </w:rPr>
                                      <w:t>Az Eszterházy Károly Egyetem felvételi adatainak elemzése</w:t>
                                    </w:r>
                                  </w:sdtContent>
                                </w:sdt>
                              </w:p>
                              <w:p>
                                <w:pPr>
                                  <w:pStyle w:val="FrameContents"/>
                                  <w:spacing w:before="120" w:after="160"/>
                                  <w:rPr/>
                                </w:pPr>
                                <w:sdt>
                                  <w:sdtPr>
                                    <w:text/>
                                    <w:dataBinding w:prefixMappings="xmlns:ns0='http://purl.org/dc/elements/1.1/' xmlns:ns1='http://schemas.openxmlformats.org/package/2006/metadata/core-properties' " w:xpath="/ns1:coreProperties[1]/ns0:subject[1]" w:storeItemID="{6C3C8BC8-F283-45AE-878A-BAB7291924A1}"/>
                                    <w:alias w:val="Alcím"/>
                                  </w:sdtPr>
                                  <w:sdtContent>
                                    <w:r>
                                      <w:rPr>
                                        <w:color w:val="404040" w:themeColor="text1" w:themeTint="bf"/>
                                        <w:sz w:val="36"/>
                                        <w:szCs w:val="36"/>
                                      </w:rPr>
                                      <w:t>2015-2018 között</w:t>
                                    </w:r>
                                  </w:sdtContent>
                                </w:sdt>
                              </w:p>
                            </w:txbxContent>
                          </wps:txbx>
                          <wps:bodyPr lIns="0" rIns="0" tIns="0" bIns="0">
                            <a:prstTxWarp prst="textNoShape"/>
                            <a:spAutoFit/>
                          </wps:bodyPr>
                        </wps:wsp>
                      </a:graphicData>
                    </a:graphic>
                  </wp:anchor>
                </w:drawing>
              </mc:Choice>
              <mc:Fallback>
                <w:pict>
                  <v:rect id="shape_0" ID="Szövegdoboz 64" stroked="f" style="position:absolute;margin-left:133.5pt;margin-top:147pt;width:434.95pt;height:153.55pt;mso-position-horizontal-relative:page;mso-position-vertical-relative:page" wp14:anchorId="7EF278FA">
                    <w10:wrap type="square"/>
                    <v:fill o:detectmouseclick="t" on="false"/>
                    <v:stroke color="#3465a4" weight="6480" joinstyle="round" endcap="flat"/>
                    <v:textbox>
                      <w:txbxContent>
                        <w:p>
                          <w:pPr>
                            <w:pStyle w:val="NoSpacing"/>
                            <w:rPr>
                              <w:rFonts w:ascii="Calibri Light" w:hAnsi="Calibri Light" w:eastAsia="" w:cs="" w:asciiTheme="majorHAnsi" w:cstheme="majorBidi" w:eastAsiaTheme="majorEastAsia" w:hAnsiTheme="majorHAnsi"/>
                              <w:b/>
                              <w:b/>
                              <w:color w:val="262626" w:themeColor="text1" w:themeTint="d9"/>
                              <w:sz w:val="72"/>
                            </w:rPr>
                          </w:pPr>
                          <w:sdt>
                            <w:sdtPr>
                              <w:text/>
                              <w:dataBinding w:prefixMappings="xmlns:ns0='http://purl.org/dc/elements/1.1/' xmlns:ns1='http://schemas.openxmlformats.org/package/2006/metadata/core-properties' " w:xpath="/ns1:coreProperties[1]/ns0:title[1]" w:storeItemID="{6C3C8BC8-F283-45AE-878A-BAB7291924A1}"/>
                              <w:alias w:val="Cím"/>
                            </w:sdtPr>
                            <w:sdtContent>
                              <w:r>
                                <w:rPr>
                                  <w:rFonts w:eastAsia="" w:cs="" w:ascii="Calibri Light" w:hAnsi="Calibri Light" w:asciiTheme="majorHAnsi" w:cstheme="majorBidi" w:eastAsiaTheme="majorEastAsia" w:hAnsiTheme="majorHAnsi"/>
                                  <w:b/>
                                  <w:color w:val="262626" w:themeColor="text1" w:themeTint="d9"/>
                                  <w:sz w:val="72"/>
                                  <w:szCs w:val="72"/>
                                </w:rPr>
                                <w:t>Az Eszterházy Károly Egyetem felvételi adatainak elemzése</w:t>
                              </w:r>
                            </w:sdtContent>
                          </w:sdt>
                        </w:p>
                        <w:p>
                          <w:pPr>
                            <w:pStyle w:val="FrameContents"/>
                            <w:spacing w:before="120" w:after="160"/>
                            <w:rPr/>
                          </w:pPr>
                          <w:sdt>
                            <w:sdtPr>
                              <w:text/>
                              <w:dataBinding w:prefixMappings="xmlns:ns0='http://purl.org/dc/elements/1.1/' xmlns:ns1='http://schemas.openxmlformats.org/package/2006/metadata/core-properties' " w:xpath="/ns1:coreProperties[1]/ns0:subject[1]" w:storeItemID="{6C3C8BC8-F283-45AE-878A-BAB7291924A1}"/>
                              <w:alias w:val="Alcím"/>
                            </w:sdtPr>
                            <w:sdtContent>
                              <w:r>
                                <w:rPr>
                                  <w:color w:val="404040" w:themeColor="text1" w:themeTint="bf"/>
                                  <w:sz w:val="36"/>
                                  <w:szCs w:val="36"/>
                                </w:rPr>
                                <w:t>2015-2018 között</w:t>
                              </w:r>
                            </w:sdtContent>
                          </w:sdt>
                        </w:p>
                      </w:txbxContent>
                    </v:textbox>
                  </v:rect>
                </w:pict>
              </mc:Fallback>
            </mc:AlternateContent>
            <mc:AlternateContent>
              <mc:Choice Requires="wps">
                <w:drawing>
                  <wp:anchor behindDoc="0" distT="0" distB="0" distL="114300" distR="114300" simplePos="0" locked="0" layoutInCell="1" allowOverlap="1" relativeHeight="92" wp14:anchorId="3DB3AFE5">
                    <wp:simplePos x="0" y="0"/>
                    <wp:positionH relativeFrom="page">
                      <wp:posOffset>1800225</wp:posOffset>
                    </wp:positionH>
                    <wp:positionV relativeFrom="margin">
                      <wp:align>bottom</wp:align>
                    </wp:positionV>
                    <wp:extent cx="4774565" cy="582295"/>
                    <wp:effectExtent l="0" t="0" r="7620" b="9525"/>
                    <wp:wrapNone/>
                    <wp:docPr id="4" name="Szövegdoboz 63"/>
                    <a:graphic xmlns:a="http://schemas.openxmlformats.org/drawingml/2006/main">
                      <a:graphicData uri="http://schemas.microsoft.com/office/word/2010/wordprocessingShape">
                        <wps:wsp>
                          <wps:cNvSpPr/>
                          <wps:spPr>
                            <a:xfrm>
                              <a:off x="0" y="0"/>
                              <a:ext cx="4773960" cy="581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NoSpacing"/>
                                  <w:rPr>
                                    <w:color w:val="5B9BD5" w:themeColor="accent1"/>
                                    <w:sz w:val="26"/>
                                    <w:szCs w:val="26"/>
                                  </w:rPr>
                                </w:pPr>
                                <w:sdt>
                                  <w:sdtPr>
                                    <w:alias w:val="Szerző"/>
                                  </w:sdtPr>
                                  <w:sdtContent>
                                    <w:r>
                                      <w:rPr>
                                        <w:color w:val="5B9BD5" w:themeColor="accent1"/>
                                        <w:sz w:val="26"/>
                                        <w:szCs w:val="26"/>
                                      </w:rPr>
                                      <w:t>Eszterházy Károly Egyetem – Oktatási Igazgatóság</w:t>
                                    </w:r>
                                  </w:sdtContent>
                                </w:sdt>
                              </w:p>
                              <w:p>
                                <w:pPr>
                                  <w:pStyle w:val="NoSpacing"/>
                                  <w:rPr/>
                                </w:pPr>
                                <w:sdt>
                                  <w:sdtPr>
                                    <w:text/>
                                    <w:dataBinding w:prefixMappings="xmlns:ns0='http://schemas.openxmlformats.org/officeDocument/2006/extended-properties' " w:xpath="/ns0:Properties[1]/ns0:Company[1]" w:storeItemID="{6668398D-A668-4E3E-A5EB-62B293D839F1}"/>
                                    <w:alias w:val="Cég"/>
                                  </w:sdtPr>
                                  <w:sdtContent>
                                    <w:r>
                                      <w:rPr>
                                        <w:caps/>
                                        <w:color w:val="595959" w:themeColor="text1" w:themeTint="a6"/>
                                        <w:sz w:val="20"/>
                                        <w:szCs w:val="20"/>
                                      </w:rPr>
                                      <w:t>Elemző Iroda</w:t>
                                    </w:r>
                                  </w:sdtContent>
                                </w:sdt>
                              </w:p>
                            </w:txbxContent>
                          </wps:txbx>
                          <wps:bodyPr lIns="0" rIns="0" tIns="0" bIns="0" anchor="b">
                            <a:prstTxWarp prst="textNoShape"/>
                            <a:noAutofit/>
                          </wps:bodyPr>
                        </wps:wsp>
                      </a:graphicData>
                    </a:graphic>
                  </wp:anchor>
                </w:drawing>
              </mc:Choice>
              <mc:Fallback>
                <w:pict>
                  <v:rect id="shape_0" ID="Szövegdoboz 63" stroked="f" style="position:absolute;margin-left:141.75pt;margin-top:653.6pt;width:375.85pt;height:45.75pt;mso-position-horizontal-relative:page;mso-position-vertical:bottom;mso-position-vertical-relative:margin" wp14:anchorId="3DB3AFE5">
                    <w10:wrap type="square"/>
                    <v:fill o:detectmouseclick="t" on="false"/>
                    <v:stroke color="#3465a4" weight="6480" joinstyle="round" endcap="flat"/>
                    <v:textbox>
                      <w:txbxContent>
                        <w:p>
                          <w:pPr>
                            <w:pStyle w:val="NoSpacing"/>
                            <w:rPr>
                              <w:color w:val="5B9BD5" w:themeColor="accent1"/>
                              <w:sz w:val="26"/>
                              <w:szCs w:val="26"/>
                            </w:rPr>
                          </w:pPr>
                          <w:sdt>
                            <w:sdtPr>
                              <w:text/>
                              <w:dataBinding w:prefixMappings="xmlns:ns0='http://purl.org/dc/elements/1.1/' xmlns:ns1='http://schemas.openxmlformats.org/package/2006/metadata/core-properties' " w:xpath="/ns1:coreProperties[1]/ns0:creator[1]" w:storeItemID="{6C3C8BC8-F283-45AE-878A-BAB7291924A1}"/>
                              <w:alias w:val="Szerző"/>
                            </w:sdtPr>
                            <w:sdtContent>
                              <w:r>
                                <w:rPr>
                                  <w:color w:val="5B9BD5" w:themeColor="accent1"/>
                                  <w:sz w:val="26"/>
                                  <w:szCs w:val="26"/>
                                </w:rPr>
                                <w:t>Eszterházy Károly Egyetem – Oktatási Igazgatóság</w:t>
                              </w:r>
                            </w:sdtContent>
                          </w:sdt>
                        </w:p>
                        <w:p>
                          <w:pPr>
                            <w:pStyle w:val="NoSpacing"/>
                            <w:rPr/>
                          </w:pPr>
                          <w:sdt>
                            <w:sdtPr>
                              <w:text/>
                              <w:dataBinding w:prefixMappings="xmlns:ns0='http://schemas.openxmlformats.org/officeDocument/2006/extended-properties' " w:xpath="/ns0:Properties[1]/ns0:Company[1]" w:storeItemID="{6668398D-A668-4E3E-A5EB-62B293D839F1}"/>
                              <w:alias w:val="Cég"/>
                            </w:sdtPr>
                            <w:sdtContent>
                              <w:r>
                                <w:rPr>
                                  <w:caps/>
                                  <w:color w:val="595959" w:themeColor="text1" w:themeTint="a6"/>
                                  <w:sz w:val="20"/>
                                  <w:szCs w:val="20"/>
                                </w:rPr>
                                <w:t>Elemző Iroda</w:t>
                              </w:r>
                            </w:sdtContent>
                          </w:sdt>
                        </w:p>
                      </w:txbxContent>
                    </v:textbox>
                  </v:rect>
                </w:pict>
              </mc:Fallback>
            </mc:AlternateContent>
            <w:drawing>
              <wp:anchor behindDoc="0" distT="0" distB="9525" distL="114300" distR="118110" simplePos="0" locked="0" layoutInCell="1" allowOverlap="1" relativeHeight="93">
                <wp:simplePos x="0" y="0"/>
                <wp:positionH relativeFrom="column">
                  <wp:posOffset>805180</wp:posOffset>
                </wp:positionH>
                <wp:positionV relativeFrom="paragraph">
                  <wp:posOffset>6273165</wp:posOffset>
                </wp:positionV>
                <wp:extent cx="4434840" cy="1381125"/>
                <wp:effectExtent l="0" t="0" r="0" b="0"/>
                <wp:wrapSquare wrapText="bothSides"/>
                <wp:docPr id="6" name="Kép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5" descr=""/>
                        <pic:cNvPicPr>
                          <a:picLocks noChangeAspect="1" noChangeArrowheads="1"/>
                        </pic:cNvPicPr>
                      </pic:nvPicPr>
                      <pic:blipFill>
                        <a:blip r:embed="rId2"/>
                        <a:stretch>
                          <a:fillRect/>
                        </a:stretch>
                      </pic:blipFill>
                      <pic:spPr bwMode="auto">
                        <a:xfrm>
                          <a:off x="0" y="0"/>
                          <a:ext cx="4434840" cy="1381125"/>
                        </a:xfrm>
                        <a:prstGeom prst="rect">
                          <a:avLst/>
                        </a:prstGeom>
                      </pic:spPr>
                    </pic:pic>
                  </a:graphicData>
                </a:graphic>
              </wp:anchor>
            </w:drawing>
          </w:r>
          <w:r>
            <w:br w:type="page"/>
          </w:r>
        </w:p>
        <w:p>
          <w:pPr>
            <w:pStyle w:val="Normal"/>
            <w:rPr/>
          </w:pPr>
          <w:r>
            <w:rPr/>
          </w:r>
        </w:p>
        <w:p>
          <w:pPr>
            <w:pStyle w:val="Normal"/>
            <w:rPr/>
          </w:pPr>
          <w:r>
            <w:rPr/>
          </w:r>
        </w:p>
        <w:p>
          <w:pPr>
            <w:pStyle w:val="TOCHeading"/>
            <w:rPr>
              <w:b/>
              <w:b/>
            </w:rPr>
          </w:pPr>
          <w:r>
            <w:rPr>
              <w:b/>
            </w:rPr>
            <w:t>Tartalom</w:t>
          </w:r>
        </w:p>
        <w:p>
          <w:pPr>
            <w:pStyle w:val="Normal"/>
            <w:rPr>
              <w:lang w:eastAsia="hu-HU"/>
            </w:rPr>
          </w:pPr>
          <w:r>
            <w:rPr>
              <w:lang w:eastAsia="hu-HU"/>
            </w:rPr>
          </w:r>
        </w:p>
        <w:p>
          <w:pPr>
            <w:pStyle w:val="Normal"/>
            <w:rPr>
              <w:lang w:eastAsia="hu-HU"/>
            </w:rPr>
          </w:pPr>
          <w:r>
            <w:rPr>
              <w:lang w:eastAsia="hu-HU"/>
            </w:rPr>
          </w:r>
          <w:bookmarkStart w:id="0" w:name="_GoBack"/>
          <w:bookmarkStart w:id="1" w:name="_GoBack"/>
          <w:bookmarkEnd w:id="1"/>
        </w:p>
        <w:p>
          <w:pPr>
            <w:pStyle w:val="Normal"/>
            <w:rPr>
              <w:lang w:eastAsia="hu-HU"/>
            </w:rPr>
          </w:pPr>
          <w:r>
            <w:rPr>
              <w:lang w:eastAsia="hu-HU"/>
            </w:rPr>
          </w:r>
        </w:p>
        <w:p>
          <w:pPr>
            <w:pStyle w:val="Normal"/>
            <w:rPr/>
          </w:pPr>
          <w:r>
            <w:rPr/>
          </w:r>
        </w:p>
        <w:p>
          <w:pPr>
            <w:pStyle w:val="Contents2"/>
            <w:tabs>
              <w:tab w:val="right" w:pos="9062" w:leader="dot"/>
            </w:tabs>
            <w:rPr>
              <w:rFonts w:eastAsia="" w:eastAsiaTheme="minorEastAsia"/>
              <w:lang w:eastAsia="hu-HU"/>
            </w:rPr>
          </w:pPr>
          <w:r>
            <w:fldChar w:fldCharType="begin"/>
          </w:r>
          <w:r>
            <w:rPr>
              <w:webHidden/>
              <w:rStyle w:val="IndexLink"/>
              <w:b/>
            </w:rPr>
            <w:instrText> TOC \z \o "1-3" \u \h</w:instrText>
          </w:r>
          <w:r>
            <w:rPr>
              <w:webHidden/>
              <w:rStyle w:val="IndexLink"/>
              <w:b/>
            </w:rPr>
            <w:fldChar w:fldCharType="separate"/>
          </w:r>
          <w:hyperlink w:anchor="_Toc4068110">
            <w:r>
              <w:rPr>
                <w:webHidden/>
                <w:rStyle w:val="IndexLink"/>
                <w:b/>
              </w:rPr>
              <w:t>Országos adatok 2015-2018</w:t>
            </w:r>
            <w:r>
              <w:rPr>
                <w:webHidden/>
              </w:rPr>
              <w:fldChar w:fldCharType="begin"/>
            </w:r>
            <w:r>
              <w:rPr>
                <w:webHidden/>
              </w:rPr>
              <w:instrText>PAGEREF _Toc4068110 \h</w:instrText>
            </w:r>
            <w:r>
              <w:rPr>
                <w:webHidden/>
              </w:rPr>
              <w:fldChar w:fldCharType="separate"/>
            </w:r>
            <w:r>
              <w:rPr>
                <w:rStyle w:val="IndexLink"/>
                <w:vanish w:val="false"/>
              </w:rPr>
              <w:tab/>
              <w:t>2</w:t>
            </w:r>
            <w:r>
              <w:rPr>
                <w:webHidden/>
              </w:rPr>
              <w:fldChar w:fldCharType="end"/>
            </w:r>
          </w:hyperlink>
        </w:p>
        <w:p>
          <w:pPr>
            <w:pStyle w:val="Contents2"/>
            <w:tabs>
              <w:tab w:val="right" w:pos="9062" w:leader="dot"/>
            </w:tabs>
            <w:rPr>
              <w:rFonts w:eastAsia="" w:eastAsiaTheme="minorEastAsia"/>
              <w:lang w:eastAsia="hu-HU"/>
            </w:rPr>
          </w:pPr>
          <w:hyperlink w:anchor="_Toc4068111">
            <w:r>
              <w:rPr>
                <w:webHidden/>
                <w:rStyle w:val="IndexLink"/>
                <w:b/>
              </w:rPr>
              <w:t>Intézményi adatok</w:t>
            </w:r>
            <w:r>
              <w:rPr>
                <w:webHidden/>
              </w:rPr>
              <w:fldChar w:fldCharType="begin"/>
            </w:r>
            <w:r>
              <w:rPr>
                <w:webHidden/>
              </w:rPr>
              <w:instrText>PAGEREF _Toc4068111 \h</w:instrText>
            </w:r>
            <w:r>
              <w:rPr>
                <w:webHidden/>
              </w:rPr>
              <w:fldChar w:fldCharType="separate"/>
            </w:r>
            <w:r>
              <w:rPr>
                <w:rStyle w:val="IndexLink"/>
                <w:vanish w:val="false"/>
              </w:rPr>
              <w:tab/>
              <w:t>4</w:t>
            </w:r>
            <w:r>
              <w:rPr>
                <w:webHidden/>
              </w:rPr>
              <w:fldChar w:fldCharType="end"/>
            </w:r>
          </w:hyperlink>
        </w:p>
        <w:p>
          <w:pPr>
            <w:pStyle w:val="Contents2"/>
            <w:tabs>
              <w:tab w:val="right" w:pos="9062" w:leader="dot"/>
            </w:tabs>
            <w:rPr>
              <w:rFonts w:eastAsia="" w:eastAsiaTheme="minorEastAsia"/>
              <w:lang w:eastAsia="hu-HU"/>
            </w:rPr>
          </w:pPr>
          <w:hyperlink w:anchor="_Toc4068112">
            <w:r>
              <w:rPr>
                <w:webHidden/>
                <w:rStyle w:val="IndexLink"/>
                <w:b/>
              </w:rPr>
              <w:t>Agrártudományi és Vidékfejlesztési Kar</w:t>
            </w:r>
            <w:r>
              <w:rPr>
                <w:webHidden/>
              </w:rPr>
              <w:fldChar w:fldCharType="begin"/>
            </w:r>
            <w:r>
              <w:rPr>
                <w:webHidden/>
              </w:rPr>
              <w:instrText>PAGEREF _Toc4068112 \h</w:instrText>
            </w:r>
            <w:r>
              <w:rPr>
                <w:webHidden/>
              </w:rPr>
              <w:fldChar w:fldCharType="separate"/>
            </w:r>
            <w:r>
              <w:rPr>
                <w:rStyle w:val="IndexLink"/>
                <w:vanish w:val="false"/>
              </w:rPr>
              <w:tab/>
              <w:t>5</w:t>
            </w:r>
            <w:r>
              <w:rPr>
                <w:webHidden/>
              </w:rPr>
              <w:fldChar w:fldCharType="end"/>
            </w:r>
          </w:hyperlink>
        </w:p>
        <w:p>
          <w:pPr>
            <w:pStyle w:val="Contents3"/>
            <w:tabs>
              <w:tab w:val="right" w:pos="9062" w:leader="dot"/>
            </w:tabs>
            <w:rPr>
              <w:rFonts w:eastAsia="" w:eastAsiaTheme="minorEastAsia"/>
              <w:lang w:eastAsia="hu-HU"/>
            </w:rPr>
          </w:pPr>
          <w:hyperlink w:anchor="_Toc4068113">
            <w:r>
              <w:rPr>
                <w:webHidden/>
                <w:rStyle w:val="IndexLink"/>
                <w:b/>
              </w:rPr>
              <w:t>Képzési helyenkénti elemzés</w:t>
            </w:r>
            <w:r>
              <w:rPr>
                <w:webHidden/>
              </w:rPr>
              <w:fldChar w:fldCharType="begin"/>
            </w:r>
            <w:r>
              <w:rPr>
                <w:webHidden/>
              </w:rPr>
              <w:instrText>PAGEREF _Toc4068113 \h</w:instrText>
            </w:r>
            <w:r>
              <w:rPr>
                <w:webHidden/>
              </w:rPr>
              <w:fldChar w:fldCharType="separate"/>
            </w:r>
            <w:r>
              <w:rPr>
                <w:rStyle w:val="IndexLink"/>
                <w:vanish w:val="false"/>
              </w:rPr>
              <w:tab/>
              <w:t>7</w:t>
            </w:r>
            <w:r>
              <w:rPr>
                <w:webHidden/>
              </w:rPr>
              <w:fldChar w:fldCharType="end"/>
            </w:r>
          </w:hyperlink>
        </w:p>
        <w:p>
          <w:pPr>
            <w:pStyle w:val="Contents2"/>
            <w:tabs>
              <w:tab w:val="right" w:pos="9062" w:leader="dot"/>
            </w:tabs>
            <w:rPr>
              <w:rFonts w:eastAsia="" w:eastAsiaTheme="minorEastAsia"/>
              <w:lang w:eastAsia="hu-HU"/>
            </w:rPr>
          </w:pPr>
          <w:hyperlink w:anchor="_Toc4068114">
            <w:r>
              <w:rPr>
                <w:webHidden/>
                <w:rStyle w:val="IndexLink"/>
                <w:b/>
              </w:rPr>
              <w:t>Bölcsészettudományi Kar</w:t>
            </w:r>
            <w:r>
              <w:rPr>
                <w:webHidden/>
              </w:rPr>
              <w:fldChar w:fldCharType="begin"/>
            </w:r>
            <w:r>
              <w:rPr>
                <w:webHidden/>
              </w:rPr>
              <w:instrText>PAGEREF _Toc4068114 \h</w:instrText>
            </w:r>
            <w:r>
              <w:rPr>
                <w:webHidden/>
              </w:rPr>
              <w:fldChar w:fldCharType="separate"/>
            </w:r>
            <w:r>
              <w:rPr>
                <w:rStyle w:val="IndexLink"/>
                <w:vanish w:val="false"/>
              </w:rPr>
              <w:tab/>
              <w:t>9</w:t>
            </w:r>
            <w:r>
              <w:rPr>
                <w:webHidden/>
              </w:rPr>
              <w:fldChar w:fldCharType="end"/>
            </w:r>
          </w:hyperlink>
        </w:p>
        <w:p>
          <w:pPr>
            <w:pStyle w:val="Contents3"/>
            <w:tabs>
              <w:tab w:val="right" w:pos="9062" w:leader="dot"/>
            </w:tabs>
            <w:rPr>
              <w:rFonts w:eastAsia="" w:eastAsiaTheme="minorEastAsia"/>
              <w:lang w:eastAsia="hu-HU"/>
            </w:rPr>
          </w:pPr>
          <w:hyperlink w:anchor="_Toc4068115">
            <w:r>
              <w:rPr>
                <w:webHidden/>
                <w:rStyle w:val="IndexLink"/>
                <w:b/>
              </w:rPr>
              <w:t>Képzési területenkénti elemzés</w:t>
            </w:r>
            <w:r>
              <w:rPr>
                <w:webHidden/>
              </w:rPr>
              <w:fldChar w:fldCharType="begin"/>
            </w:r>
            <w:r>
              <w:rPr>
                <w:webHidden/>
              </w:rPr>
              <w:instrText>PAGEREF _Toc4068115 \h</w:instrText>
            </w:r>
            <w:r>
              <w:rPr>
                <w:webHidden/>
              </w:rPr>
              <w:fldChar w:fldCharType="separate"/>
            </w:r>
            <w:r>
              <w:rPr>
                <w:rStyle w:val="IndexLink"/>
                <w:vanish w:val="false"/>
              </w:rPr>
              <w:tab/>
              <w:t>11</w:t>
            </w:r>
            <w:r>
              <w:rPr>
                <w:webHidden/>
              </w:rPr>
              <w:fldChar w:fldCharType="end"/>
            </w:r>
          </w:hyperlink>
        </w:p>
        <w:p>
          <w:pPr>
            <w:pStyle w:val="Contents2"/>
            <w:tabs>
              <w:tab w:val="right" w:pos="9062" w:leader="dot"/>
            </w:tabs>
            <w:rPr>
              <w:rFonts w:eastAsia="" w:eastAsiaTheme="minorEastAsia"/>
              <w:lang w:eastAsia="hu-HU"/>
            </w:rPr>
          </w:pPr>
          <w:hyperlink w:anchor="_Toc4068116">
            <w:r>
              <w:rPr>
                <w:webHidden/>
                <w:rStyle w:val="IndexLink"/>
                <w:b/>
              </w:rPr>
              <w:t>Gazdaság- és Társadalomtudományi Kar</w:t>
            </w:r>
            <w:r>
              <w:rPr>
                <w:webHidden/>
              </w:rPr>
              <w:fldChar w:fldCharType="begin"/>
            </w:r>
            <w:r>
              <w:rPr>
                <w:webHidden/>
              </w:rPr>
              <w:instrText>PAGEREF _Toc4068116 \h</w:instrText>
            </w:r>
            <w:r>
              <w:rPr>
                <w:webHidden/>
              </w:rPr>
              <w:fldChar w:fldCharType="separate"/>
            </w:r>
            <w:r>
              <w:rPr>
                <w:rStyle w:val="IndexLink"/>
                <w:vanish w:val="false"/>
              </w:rPr>
              <w:tab/>
              <w:t>13</w:t>
            </w:r>
            <w:r>
              <w:rPr>
                <w:webHidden/>
              </w:rPr>
              <w:fldChar w:fldCharType="end"/>
            </w:r>
          </w:hyperlink>
        </w:p>
        <w:p>
          <w:pPr>
            <w:pStyle w:val="Contents3"/>
            <w:tabs>
              <w:tab w:val="right" w:pos="9062" w:leader="dot"/>
            </w:tabs>
            <w:rPr>
              <w:rFonts w:eastAsia="" w:eastAsiaTheme="minorEastAsia"/>
              <w:lang w:eastAsia="hu-HU"/>
            </w:rPr>
          </w:pPr>
          <w:hyperlink w:anchor="_Toc4068117">
            <w:r>
              <w:rPr>
                <w:webHidden/>
                <w:rStyle w:val="IndexLink"/>
                <w:b/>
              </w:rPr>
              <w:t>Képzési területenkénti elemzés</w:t>
            </w:r>
            <w:r>
              <w:rPr>
                <w:webHidden/>
              </w:rPr>
              <w:fldChar w:fldCharType="begin"/>
            </w:r>
            <w:r>
              <w:rPr>
                <w:webHidden/>
              </w:rPr>
              <w:instrText>PAGEREF _Toc4068117 \h</w:instrText>
            </w:r>
            <w:r>
              <w:rPr>
                <w:webHidden/>
              </w:rPr>
              <w:fldChar w:fldCharType="separate"/>
            </w:r>
            <w:r>
              <w:rPr>
                <w:rStyle w:val="IndexLink"/>
                <w:vanish w:val="false"/>
              </w:rPr>
              <w:tab/>
              <w:t>16</w:t>
            </w:r>
            <w:r>
              <w:rPr>
                <w:webHidden/>
              </w:rPr>
              <w:fldChar w:fldCharType="end"/>
            </w:r>
          </w:hyperlink>
        </w:p>
        <w:p>
          <w:pPr>
            <w:pStyle w:val="Contents2"/>
            <w:tabs>
              <w:tab w:val="right" w:pos="9062" w:leader="dot"/>
            </w:tabs>
            <w:rPr>
              <w:rFonts w:eastAsia="" w:eastAsiaTheme="minorEastAsia"/>
              <w:lang w:eastAsia="hu-HU"/>
            </w:rPr>
          </w:pPr>
          <w:hyperlink w:anchor="_Toc4068118">
            <w:r>
              <w:rPr>
                <w:webHidden/>
                <w:rStyle w:val="IndexLink"/>
                <w:b/>
              </w:rPr>
              <w:t>Pedagógiai Kar</w:t>
            </w:r>
            <w:r>
              <w:rPr>
                <w:webHidden/>
              </w:rPr>
              <w:fldChar w:fldCharType="begin"/>
            </w:r>
            <w:r>
              <w:rPr>
                <w:webHidden/>
              </w:rPr>
              <w:instrText>PAGEREF _Toc4068118 \h</w:instrText>
            </w:r>
            <w:r>
              <w:rPr>
                <w:webHidden/>
              </w:rPr>
              <w:fldChar w:fldCharType="separate"/>
            </w:r>
            <w:r>
              <w:rPr>
                <w:rStyle w:val="IndexLink"/>
                <w:vanish w:val="false"/>
              </w:rPr>
              <w:tab/>
              <w:t>19</w:t>
            </w:r>
            <w:r>
              <w:rPr>
                <w:webHidden/>
              </w:rPr>
              <w:fldChar w:fldCharType="end"/>
            </w:r>
          </w:hyperlink>
        </w:p>
        <w:p>
          <w:pPr>
            <w:pStyle w:val="Contents3"/>
            <w:tabs>
              <w:tab w:val="right" w:pos="9062" w:leader="dot"/>
            </w:tabs>
            <w:rPr>
              <w:rFonts w:eastAsia="" w:eastAsiaTheme="minorEastAsia"/>
              <w:lang w:eastAsia="hu-HU"/>
            </w:rPr>
          </w:pPr>
          <w:hyperlink w:anchor="_Toc4068119">
            <w:r>
              <w:rPr>
                <w:webHidden/>
                <w:rStyle w:val="IndexLink"/>
                <w:b/>
              </w:rPr>
              <w:t>Képzési hely szerinti elemzés</w:t>
            </w:r>
            <w:r>
              <w:rPr>
                <w:webHidden/>
              </w:rPr>
              <w:fldChar w:fldCharType="begin"/>
            </w:r>
            <w:r>
              <w:rPr>
                <w:webHidden/>
              </w:rPr>
              <w:instrText>PAGEREF _Toc4068119 \h</w:instrText>
            </w:r>
            <w:r>
              <w:rPr>
                <w:webHidden/>
              </w:rPr>
              <w:fldChar w:fldCharType="separate"/>
            </w:r>
            <w:r>
              <w:rPr>
                <w:rStyle w:val="IndexLink"/>
                <w:vanish w:val="false"/>
              </w:rPr>
              <w:tab/>
              <w:t>22</w:t>
            </w:r>
            <w:r>
              <w:rPr>
                <w:webHidden/>
              </w:rPr>
              <w:fldChar w:fldCharType="end"/>
            </w:r>
          </w:hyperlink>
        </w:p>
        <w:p>
          <w:pPr>
            <w:pStyle w:val="Contents3"/>
            <w:tabs>
              <w:tab w:val="right" w:pos="9062" w:leader="dot"/>
            </w:tabs>
            <w:rPr>
              <w:rFonts w:eastAsia="" w:eastAsiaTheme="minorEastAsia"/>
              <w:lang w:eastAsia="hu-HU"/>
            </w:rPr>
          </w:pPr>
          <w:hyperlink w:anchor="_Toc4068120">
            <w:r>
              <w:rPr>
                <w:webHidden/>
                <w:rStyle w:val="IndexLink"/>
                <w:b/>
              </w:rPr>
              <w:t>Képzési területenkénti elemzés</w:t>
            </w:r>
            <w:r>
              <w:rPr>
                <w:webHidden/>
              </w:rPr>
              <w:fldChar w:fldCharType="begin"/>
            </w:r>
            <w:r>
              <w:rPr>
                <w:webHidden/>
              </w:rPr>
              <w:instrText>PAGEREF _Toc4068120 \h</w:instrText>
            </w:r>
            <w:r>
              <w:rPr>
                <w:webHidden/>
              </w:rPr>
              <w:fldChar w:fldCharType="separate"/>
            </w:r>
            <w:r>
              <w:rPr>
                <w:rStyle w:val="IndexLink"/>
                <w:vanish w:val="false"/>
              </w:rPr>
              <w:tab/>
              <w:t>24</w:t>
            </w:r>
            <w:r>
              <w:rPr>
                <w:webHidden/>
              </w:rPr>
              <w:fldChar w:fldCharType="end"/>
            </w:r>
          </w:hyperlink>
        </w:p>
        <w:p>
          <w:pPr>
            <w:pStyle w:val="Contents2"/>
            <w:tabs>
              <w:tab w:val="right" w:pos="9062" w:leader="dot"/>
            </w:tabs>
            <w:rPr>
              <w:rFonts w:eastAsia="" w:eastAsiaTheme="minorEastAsia"/>
              <w:lang w:eastAsia="hu-HU"/>
            </w:rPr>
          </w:pPr>
          <w:hyperlink w:anchor="_Toc4068121">
            <w:r>
              <w:rPr>
                <w:webHidden/>
                <w:rStyle w:val="IndexLink"/>
                <w:b/>
              </w:rPr>
              <w:t>Természettudományi Kar</w:t>
            </w:r>
            <w:r>
              <w:rPr>
                <w:webHidden/>
              </w:rPr>
              <w:fldChar w:fldCharType="begin"/>
            </w:r>
            <w:r>
              <w:rPr>
                <w:webHidden/>
              </w:rPr>
              <w:instrText>PAGEREF _Toc4068121 \h</w:instrText>
            </w:r>
            <w:r>
              <w:rPr>
                <w:webHidden/>
              </w:rPr>
              <w:fldChar w:fldCharType="separate"/>
            </w:r>
            <w:r>
              <w:rPr>
                <w:rStyle w:val="IndexLink"/>
                <w:vanish w:val="false"/>
              </w:rPr>
              <w:tab/>
              <w:t>26</w:t>
            </w:r>
            <w:r>
              <w:rPr>
                <w:webHidden/>
              </w:rPr>
              <w:fldChar w:fldCharType="end"/>
            </w:r>
          </w:hyperlink>
        </w:p>
        <w:p>
          <w:pPr>
            <w:pStyle w:val="Contents3"/>
            <w:tabs>
              <w:tab w:val="right" w:pos="9062" w:leader="dot"/>
            </w:tabs>
            <w:rPr>
              <w:rFonts w:eastAsia="" w:eastAsiaTheme="minorEastAsia"/>
              <w:lang w:eastAsia="hu-HU"/>
            </w:rPr>
          </w:pPr>
          <w:hyperlink w:anchor="_Toc4068122">
            <w:r>
              <w:rPr>
                <w:webHidden/>
                <w:rStyle w:val="IndexLink"/>
                <w:b/>
              </w:rPr>
              <w:t>Képzési területenkénti elemzés</w:t>
            </w:r>
            <w:r>
              <w:rPr>
                <w:webHidden/>
              </w:rPr>
              <w:fldChar w:fldCharType="begin"/>
            </w:r>
            <w:r>
              <w:rPr>
                <w:webHidden/>
              </w:rPr>
              <w:instrText>PAGEREF _Toc4068122 \h</w:instrText>
            </w:r>
            <w:r>
              <w:rPr>
                <w:webHidden/>
              </w:rPr>
              <w:fldChar w:fldCharType="separate"/>
            </w:r>
            <w:r>
              <w:rPr>
                <w:rStyle w:val="IndexLink"/>
                <w:vanish w:val="false"/>
              </w:rPr>
              <w:tab/>
              <w:t>29</w:t>
            </w:r>
            <w:r>
              <w:rPr>
                <w:webHidden/>
              </w:rPr>
              <w:fldChar w:fldCharType="end"/>
            </w:r>
          </w:hyperlink>
        </w:p>
        <w:p>
          <w:pPr>
            <w:pStyle w:val="Contents2"/>
            <w:tabs>
              <w:tab w:val="right" w:pos="9062" w:leader="dot"/>
            </w:tabs>
            <w:rPr>
              <w:rFonts w:eastAsia="" w:eastAsiaTheme="minorEastAsia"/>
              <w:lang w:eastAsia="hu-HU"/>
            </w:rPr>
          </w:pPr>
          <w:hyperlink w:anchor="_Toc4068123">
            <w:r>
              <w:rPr>
                <w:webHidden/>
                <w:rStyle w:val="IndexLink"/>
                <w:b/>
              </w:rPr>
              <w:t>Osztatlan tanárszakok az Eszterházy Károly Egyetemen</w:t>
            </w:r>
            <w:r>
              <w:rPr>
                <w:webHidden/>
              </w:rPr>
              <w:fldChar w:fldCharType="begin"/>
            </w:r>
            <w:r>
              <w:rPr>
                <w:webHidden/>
              </w:rPr>
              <w:instrText>PAGEREF _Toc4068123 \h</w:instrText>
            </w:r>
            <w:r>
              <w:rPr>
                <w:webHidden/>
              </w:rPr>
              <w:fldChar w:fldCharType="separate"/>
            </w:r>
            <w:r>
              <w:rPr>
                <w:rStyle w:val="IndexLink"/>
                <w:vanish w:val="false"/>
              </w:rPr>
              <w:tab/>
              <w:t>32</w:t>
            </w:r>
            <w:r>
              <w:rPr>
                <w:webHidden/>
              </w:rPr>
              <w:fldChar w:fldCharType="end"/>
            </w:r>
          </w:hyperlink>
        </w:p>
        <w:p>
          <w:pPr>
            <w:pStyle w:val="Contents2"/>
            <w:tabs>
              <w:tab w:val="right" w:pos="9062" w:leader="dot"/>
            </w:tabs>
            <w:rPr>
              <w:rFonts w:eastAsia="" w:eastAsiaTheme="minorEastAsia"/>
              <w:lang w:eastAsia="hu-HU"/>
            </w:rPr>
          </w:pPr>
          <w:hyperlink w:anchor="_Toc4068124">
            <w:r>
              <w:rPr>
                <w:webHidden/>
                <w:rStyle w:val="IndexLink"/>
                <w:b/>
              </w:rPr>
              <w:t>Összefoglalás</w:t>
            </w:r>
            <w:r>
              <w:rPr>
                <w:webHidden/>
              </w:rPr>
              <w:fldChar w:fldCharType="begin"/>
            </w:r>
            <w:r>
              <w:rPr>
                <w:webHidden/>
              </w:rPr>
              <w:instrText>PAGEREF _Toc4068124 \h</w:instrText>
            </w:r>
            <w:r>
              <w:rPr>
                <w:webHidden/>
              </w:rPr>
              <w:fldChar w:fldCharType="separate"/>
            </w:r>
            <w:r>
              <w:rPr>
                <w:rStyle w:val="IndexLink"/>
                <w:vanish w:val="false"/>
              </w:rPr>
              <w:tab/>
              <w:t>34</w:t>
            </w:r>
            <w:r>
              <w:rPr>
                <w:webHidden/>
              </w:rPr>
              <w:fldChar w:fldCharType="end"/>
            </w:r>
          </w:hyperlink>
        </w:p>
        <w:p>
          <w:pPr>
            <w:pStyle w:val="Normal"/>
            <w:rPr/>
          </w:pPr>
          <w:r>
            <w:rPr/>
          </w:r>
          <w:r>
            <w:rPr/>
            <w:fldChar w:fldCharType="end"/>
          </w:r>
        </w:p>
      </w:sdtContent>
    </w:sdt>
    <w:p>
      <w:pPr>
        <w:pStyle w:val="Normal"/>
        <w:jc w:val="center"/>
        <w:rPr>
          <w:b/>
          <w:b/>
          <w:sz w:val="28"/>
          <w:szCs w:val="28"/>
        </w:rPr>
      </w:pPr>
      <w:r>
        <w:rPr>
          <w:b/>
          <w:sz w:val="28"/>
          <w:szCs w:val="28"/>
        </w:rPr>
      </w:r>
    </w:p>
    <w:p>
      <w:pPr>
        <w:pStyle w:val="Normal"/>
        <w:rPr/>
      </w:pPr>
      <w:r>
        <w:rPr/>
      </w:r>
      <w:bookmarkStart w:id="2" w:name="_Toc512366441"/>
      <w:bookmarkStart w:id="3" w:name="_Toc512366441"/>
      <w:r>
        <w:br w:type="page"/>
      </w:r>
    </w:p>
    <w:p>
      <w:pPr>
        <w:pStyle w:val="Heading1"/>
        <w:jc w:val="center"/>
        <w:rPr/>
      </w:pPr>
      <w:r>
        <w:rPr/>
      </w:r>
    </w:p>
    <w:p>
      <w:pPr>
        <w:pStyle w:val="Normal"/>
        <w:jc w:val="center"/>
        <w:rPr>
          <w:b/>
          <w:b/>
          <w:sz w:val="32"/>
          <w:szCs w:val="32"/>
        </w:rPr>
      </w:pPr>
      <w:bookmarkStart w:id="4" w:name="_Toc512366441"/>
      <w:r>
        <w:rPr>
          <w:b/>
          <w:sz w:val="32"/>
          <w:szCs w:val="32"/>
        </w:rPr>
        <w:t xml:space="preserve">Az Eszterházy Károly Egyetem felvételi adatainak elemzése </w:t>
        <w:br/>
        <w:t>2015-2018 közötti időszakban</w:t>
      </w:r>
      <w:bookmarkEnd w:id="4"/>
    </w:p>
    <w:p>
      <w:pPr>
        <w:pStyle w:val="Normal"/>
        <w:jc w:val="both"/>
        <w:rPr/>
      </w:pPr>
      <w:r>
        <w:rPr/>
        <w:t>Jelen tanulmány elkészítésének célja az intézménybe való felvételi jelentkezések elemzése, idősorosan, karonként, képzési területenként, képzési szintenként, esetleg szakonként is. Ezen adatok fényében megfigyelhetők olyan tendenciák, melyek segítséget nyújthatnak az oktatás irányítási és oktatásszervezési, stratégiai döntések meghozatalához. A tanulmány felépítését tekintve először rövid országos összesítő adatokat tartalmaz a fenti időszakra vonatkozóan, majd karonkénti elemzést nyújt és ezek alapján összesített intézményi adatokat mutat be, végül a 2018-as felvételi adatok kerülnek megjelenítésre.</w:t>
      </w:r>
    </w:p>
    <w:p>
      <w:pPr>
        <w:pStyle w:val="Normal"/>
        <w:jc w:val="both"/>
        <w:rPr>
          <w:rFonts w:cs="Calibri" w:cstheme="minorHAnsi"/>
          <w:b/>
          <w:b/>
        </w:rPr>
      </w:pPr>
      <w:r>
        <w:rPr>
          <w:rFonts w:cs="Calibri" w:cstheme="minorHAnsi"/>
          <w:b/>
        </w:rPr>
      </w:r>
    </w:p>
    <w:p>
      <w:pPr>
        <w:pStyle w:val="Heading2"/>
        <w:rPr>
          <w:b/>
          <w:b/>
          <w:sz w:val="32"/>
          <w:szCs w:val="32"/>
        </w:rPr>
      </w:pPr>
      <w:bookmarkStart w:id="5" w:name="_Toc4068110"/>
      <w:r>
        <w:rPr>
          <w:b/>
          <w:sz w:val="32"/>
          <w:szCs w:val="32"/>
        </w:rPr>
        <w:t>Országos adatok 2015-2018</w:t>
      </w:r>
      <w:bookmarkEnd w:id="5"/>
    </w:p>
    <w:p>
      <w:pPr>
        <w:pStyle w:val="Normal"/>
        <w:jc w:val="both"/>
        <w:rPr>
          <w:rFonts w:cs="Calibri" w:cstheme="minorHAnsi"/>
          <w:b/>
          <w:b/>
        </w:rPr>
      </w:pPr>
      <w:r>
        <w:rPr>
          <w:rFonts w:cs="Calibri" w:cstheme="minorHAnsi"/>
          <w:b/>
        </w:rPr>
      </w:r>
    </w:p>
    <w:p>
      <w:pPr>
        <w:pStyle w:val="Normal"/>
        <w:jc w:val="both"/>
        <w:rPr>
          <w:rFonts w:cs="Calibri" w:cstheme="minorHAnsi"/>
        </w:rPr>
      </w:pPr>
      <w:r>
        <w:rPr>
          <w:rFonts w:cs="Calibri" w:cstheme="minorHAnsi"/>
        </w:rPr>
        <w:t>A későbbiekben elemzett intézményi adatok tükrözik az országos tendenciákat. Az alábbi összefoglaló táblázat szerint is a 2016-os év volt kiemelkedő mind jelentkezői, mind felvett hallgatók tekintetében, ahogyan az EKE-n is a részletes és összefoglaló adatok elemzései kapcsán megállapítottuk ezt.</w:t>
      </w:r>
    </w:p>
    <w:tbl>
      <w:tblPr>
        <w:tblW w:w="77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3113"/>
        <w:gridCol w:w="1346"/>
        <w:gridCol w:w="1180"/>
        <w:gridCol w:w="1120"/>
        <w:gridCol w:w="941"/>
      </w:tblGrid>
      <w:tr>
        <w:trPr>
          <w:trHeight w:val="300" w:hRule="atLeast"/>
        </w:trPr>
        <w:tc>
          <w:tcPr>
            <w:tcW w:w="31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color w:val="000000"/>
                <w:lang w:eastAsia="hu-HU"/>
              </w:rPr>
            </w:pPr>
            <w:r>
              <w:rPr>
                <w:rFonts w:eastAsia="Times New Roman" w:cs="Calibri"/>
                <w:b/>
                <w:color w:val="000000"/>
                <w:lang w:eastAsia="hu-HU"/>
              </w:rPr>
              <w:t>Év</w:t>
            </w:r>
          </w:p>
        </w:tc>
        <w:tc>
          <w:tcPr>
            <w:tcW w:w="134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2015</w:t>
            </w:r>
          </w:p>
        </w:tc>
        <w:tc>
          <w:tcPr>
            <w:tcW w:w="11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2016</w:t>
            </w:r>
          </w:p>
        </w:tc>
        <w:tc>
          <w:tcPr>
            <w:tcW w:w="112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2017</w:t>
            </w:r>
          </w:p>
        </w:tc>
        <w:tc>
          <w:tcPr>
            <w:tcW w:w="94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2018</w:t>
            </w:r>
          </w:p>
        </w:tc>
      </w:tr>
      <w:tr>
        <w:trPr>
          <w:trHeight w:val="300" w:hRule="atLeast"/>
        </w:trPr>
        <w:tc>
          <w:tcPr>
            <w:tcW w:w="31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 jelentkezők (fő)</w:t>
            </w:r>
          </w:p>
        </w:tc>
        <w:tc>
          <w:tcPr>
            <w:tcW w:w="134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105 546</w:t>
            </w:r>
          </w:p>
        </w:tc>
        <w:tc>
          <w:tcPr>
            <w:tcW w:w="11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111 219</w:t>
            </w:r>
          </w:p>
        </w:tc>
        <w:tc>
          <w:tcPr>
            <w:tcW w:w="112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105 868</w:t>
            </w:r>
          </w:p>
        </w:tc>
        <w:tc>
          <w:tcPr>
            <w:tcW w:w="94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107 698</w:t>
            </w:r>
          </w:p>
        </w:tc>
      </w:tr>
      <w:tr>
        <w:trPr>
          <w:trHeight w:val="300" w:hRule="atLeast"/>
        </w:trPr>
        <w:tc>
          <w:tcPr>
            <w:tcW w:w="3113"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felvettek (fő)</w:t>
            </w:r>
          </w:p>
        </w:tc>
        <w:tc>
          <w:tcPr>
            <w:tcW w:w="134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72 171</w:t>
            </w:r>
          </w:p>
        </w:tc>
        <w:tc>
          <w:tcPr>
            <w:tcW w:w="11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74 901</w:t>
            </w:r>
          </w:p>
        </w:tc>
        <w:tc>
          <w:tcPr>
            <w:tcW w:w="112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72 758</w:t>
            </w:r>
          </w:p>
        </w:tc>
        <w:tc>
          <w:tcPr>
            <w:tcW w:w="94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75 230</w:t>
            </w:r>
          </w:p>
        </w:tc>
      </w:tr>
    </w:tbl>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 xml:space="preserve">A 2018-as felvételi adatok alapján, ahogyan fentebb is említettük, intézményünk az országos lista 13. helyén áll. </w:t>
      </w:r>
      <w:r>
        <w:rPr/>
        <w:t xml:space="preserve">Az országos lista első három helyezettje minden évben az ELTE, Debreceni Egyetem és a Szegedi Tudományegyetem (mely utóbbi kettő felváltva jelenik meg hol a második, hol a harmadik helyen, illetve cserélődnek jelentkezői létszám és felvett hallgatók száma alapján is). </w:t>
      </w:r>
    </w:p>
    <w:tbl>
      <w:tblPr>
        <w:tblW w:w="7938" w:type="dxa"/>
        <w:jc w:val="left"/>
        <w:tblInd w:w="836"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CellMar>
          <w:top w:w="0" w:type="dxa"/>
          <w:left w:w="69" w:type="dxa"/>
          <w:bottom w:w="0" w:type="dxa"/>
          <w:right w:w="70" w:type="dxa"/>
        </w:tblCellMar>
        <w:tblLook w:noVBand="1" w:val="04a0" w:noHBand="0" w:lastColumn="0" w:firstColumn="1" w:lastRow="0" w:firstRow="1"/>
      </w:tblPr>
      <w:tblGrid>
        <w:gridCol w:w="723"/>
        <w:gridCol w:w="4912"/>
        <w:gridCol w:w="2303"/>
      </w:tblGrid>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color="auto" w:fill="C5E0B3" w:themeFill="accent6" w:themeFillTint="66" w:val="clear"/>
          </w:tcPr>
          <w:p>
            <w:pPr>
              <w:pStyle w:val="Normal"/>
              <w:spacing w:lineRule="auto" w:line="240" w:before="0" w:after="0"/>
              <w:jc w:val="center"/>
              <w:rPr>
                <w:rFonts w:ascii="Calibri" w:hAnsi="Calibri" w:eastAsia="Times New Roman" w:cs="Calibri"/>
                <w:b/>
                <w:b/>
                <w:bCs/>
                <w:color w:val="000000"/>
                <w:sz w:val="20"/>
                <w:szCs w:val="20"/>
                <w:lang w:eastAsia="hu-HU"/>
              </w:rPr>
            </w:pPr>
            <w:r>
              <w:rPr>
                <w:rFonts w:eastAsia="Times New Roman" w:cs="Calibri"/>
                <w:b/>
                <w:bCs/>
                <w:color w:val="000000"/>
                <w:sz w:val="20"/>
                <w:szCs w:val="20"/>
                <w:lang w:eastAsia="hu-HU"/>
              </w:rPr>
            </w:r>
          </w:p>
        </w:tc>
        <w:tc>
          <w:tcPr>
            <w:tcW w:w="4912" w:type="dxa"/>
            <w:tcBorders>
              <w:top w:val="single" w:sz="12" w:space="0" w:color="4472C4"/>
              <w:left w:val="single" w:sz="12" w:space="0" w:color="4472C4"/>
              <w:bottom w:val="single" w:sz="12" w:space="0" w:color="4472C4"/>
              <w:right w:val="single" w:sz="12" w:space="0" w:color="4472C4"/>
            </w:tcBorders>
            <w:shd w:color="auto" w:fill="C5E0B3" w:themeFill="accent6" w:themeFillTint="66" w:val="clear"/>
            <w:vAlign w:val="bottom"/>
          </w:tcPr>
          <w:p>
            <w:pPr>
              <w:pStyle w:val="Normal"/>
              <w:spacing w:lineRule="auto" w:line="240" w:before="0" w:after="0"/>
              <w:rPr>
                <w:rFonts w:ascii="Calibri" w:hAnsi="Calibri" w:eastAsia="Times New Roman" w:cs="Calibri"/>
                <w:b/>
                <w:b/>
                <w:bCs/>
                <w:color w:val="000000"/>
                <w:sz w:val="20"/>
                <w:szCs w:val="20"/>
                <w:lang w:eastAsia="hu-HU"/>
              </w:rPr>
            </w:pPr>
            <w:r>
              <w:rPr>
                <w:rFonts w:eastAsia="Times New Roman" w:cs="Calibri"/>
                <w:b/>
                <w:bCs/>
                <w:color w:val="000000"/>
                <w:sz w:val="20"/>
                <w:szCs w:val="20"/>
                <w:lang w:eastAsia="hu-HU"/>
              </w:rPr>
              <w:t>Intézmény név</w:t>
            </w:r>
          </w:p>
        </w:tc>
        <w:tc>
          <w:tcPr>
            <w:tcW w:w="2303" w:type="dxa"/>
            <w:tcBorders>
              <w:top w:val="single" w:sz="12" w:space="0" w:color="4472C4"/>
              <w:left w:val="single" w:sz="12" w:space="0" w:color="4472C4"/>
              <w:bottom w:val="single" w:sz="12" w:space="0" w:color="4472C4"/>
              <w:right w:val="single" w:sz="12" w:space="0" w:color="4472C4"/>
            </w:tcBorders>
            <w:shd w:color="auto" w:fill="C5E0B3" w:themeFill="accent6" w:themeFillTint="66" w:val="clear"/>
            <w:vAlign w:val="bottom"/>
          </w:tcPr>
          <w:p>
            <w:pPr>
              <w:pStyle w:val="Normal"/>
              <w:spacing w:lineRule="auto" w:line="240" w:before="0" w:after="0"/>
              <w:jc w:val="center"/>
              <w:rPr>
                <w:rFonts w:ascii="Calibri" w:hAnsi="Calibri" w:eastAsia="Times New Roman" w:cs="Calibri"/>
                <w:b/>
                <w:b/>
                <w:bCs/>
                <w:color w:val="000000"/>
                <w:sz w:val="20"/>
                <w:szCs w:val="20"/>
                <w:lang w:eastAsia="hu-HU"/>
              </w:rPr>
            </w:pPr>
            <w:r>
              <w:rPr>
                <w:rFonts w:eastAsia="Times New Roman" w:cs="Calibri"/>
                <w:b/>
                <w:bCs/>
                <w:color w:val="000000"/>
                <w:sz w:val="20"/>
                <w:szCs w:val="20"/>
                <w:lang w:eastAsia="hu-HU"/>
              </w:rPr>
              <w:t>Jelentkezők összesen (fő)</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Eötvös Loránd Tudományegyetem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24132</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2.</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Debreceni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15140</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3.</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Szegedi Tudományegyetem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13728</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4.</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Budapesti Gazdasági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12956</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5.</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Pécsi Tudományegyetem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12567</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6.</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Budapesti Műszaki és Gazdaságtudományi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10869</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7.</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Budapesti Corvinus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9229</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8.</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Óbudai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8561</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9.</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Károli Gáspár Református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8462</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10.</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Széchenyi István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8414</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11.</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Szent István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8259</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12.</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sz w:val="20"/>
                <w:szCs w:val="20"/>
                <w:lang w:eastAsia="hu-HU"/>
              </w:rPr>
            </w:pPr>
            <w:r>
              <w:rPr>
                <w:rFonts w:eastAsia="Times New Roman" w:cs="Calibri"/>
                <w:color w:val="000000"/>
                <w:sz w:val="20"/>
                <w:szCs w:val="20"/>
                <w:lang w:eastAsia="hu-HU"/>
              </w:rPr>
              <w:t>Pázmány Péter Katolikus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color w:val="000000"/>
                <w:sz w:val="20"/>
                <w:szCs w:val="20"/>
                <w:lang w:eastAsia="hu-HU"/>
              </w:rPr>
            </w:pPr>
            <w:r>
              <w:rPr>
                <w:rFonts w:eastAsia="Times New Roman" w:cs="Calibri"/>
                <w:color w:val="000000"/>
                <w:sz w:val="20"/>
                <w:szCs w:val="20"/>
                <w:lang w:eastAsia="hu-HU"/>
              </w:rPr>
              <w:t>7398</w:t>
            </w:r>
          </w:p>
        </w:tc>
      </w:tr>
      <w:tr>
        <w:trPr>
          <w:trHeight w:val="300" w:hRule="atLeast"/>
        </w:trPr>
        <w:tc>
          <w:tcPr>
            <w:tcW w:w="723" w:type="dxa"/>
            <w:tcBorders>
              <w:top w:val="single" w:sz="12" w:space="0" w:color="4472C4"/>
              <w:left w:val="single" w:sz="12" w:space="0" w:color="4472C4"/>
              <w:bottom w:val="single" w:sz="12" w:space="0" w:color="4472C4"/>
              <w:right w:val="single" w:sz="12" w:space="0" w:color="4472C4"/>
            </w:tcBorders>
            <w:shd w:fill="auto" w:val="clear"/>
          </w:tcPr>
          <w:p>
            <w:pPr>
              <w:pStyle w:val="Normal"/>
              <w:spacing w:lineRule="auto" w:line="240" w:before="0" w:after="0"/>
              <w:jc w:val="center"/>
              <w:rPr>
                <w:rFonts w:ascii="Calibri" w:hAnsi="Calibri" w:eastAsia="Times New Roman" w:cs="Calibri"/>
                <w:b/>
                <w:b/>
                <w:i/>
                <w:i/>
                <w:color w:val="000000"/>
                <w:sz w:val="20"/>
                <w:szCs w:val="20"/>
                <w:lang w:eastAsia="hu-HU"/>
              </w:rPr>
            </w:pPr>
            <w:r>
              <w:rPr>
                <w:rFonts w:eastAsia="Times New Roman" w:cs="Calibri"/>
                <w:b/>
                <w:i/>
                <w:color w:val="000000"/>
                <w:sz w:val="20"/>
                <w:szCs w:val="20"/>
                <w:lang w:eastAsia="hu-HU"/>
              </w:rPr>
              <w:t>13.</w:t>
            </w:r>
          </w:p>
        </w:tc>
        <w:tc>
          <w:tcPr>
            <w:tcW w:w="491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b/>
                <w:b/>
                <w:i/>
                <w:i/>
                <w:color w:val="000000"/>
                <w:sz w:val="20"/>
                <w:szCs w:val="20"/>
                <w:lang w:eastAsia="hu-HU"/>
              </w:rPr>
            </w:pPr>
            <w:r>
              <w:rPr>
                <w:rFonts w:eastAsia="Times New Roman" w:cs="Calibri"/>
                <w:b/>
                <w:i/>
                <w:color w:val="000000"/>
                <w:sz w:val="20"/>
                <w:szCs w:val="20"/>
                <w:lang w:eastAsia="hu-HU"/>
              </w:rPr>
              <w:t>Eszterházy Károly Egyetem</w:t>
            </w:r>
          </w:p>
        </w:tc>
        <w:tc>
          <w:tcPr>
            <w:tcW w:w="2303"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center"/>
              <w:rPr>
                <w:rFonts w:ascii="Calibri" w:hAnsi="Calibri" w:eastAsia="Times New Roman" w:cs="Calibri"/>
                <w:b/>
                <w:b/>
                <w:i/>
                <w:i/>
                <w:color w:val="000000"/>
                <w:sz w:val="20"/>
                <w:szCs w:val="20"/>
                <w:lang w:eastAsia="hu-HU"/>
              </w:rPr>
            </w:pPr>
            <w:r>
              <w:rPr>
                <w:rFonts w:eastAsia="Times New Roman" w:cs="Calibri"/>
                <w:b/>
                <w:i/>
                <w:color w:val="000000"/>
                <w:sz w:val="20"/>
                <w:szCs w:val="20"/>
                <w:lang w:eastAsia="hu-HU"/>
              </w:rPr>
              <w:t>6273</w:t>
            </w:r>
          </w:p>
        </w:tc>
      </w:tr>
    </w:tbl>
    <w:p>
      <w:pPr>
        <w:pStyle w:val="Normal"/>
        <w:jc w:val="both"/>
        <w:rPr>
          <w:sz w:val="20"/>
          <w:szCs w:val="20"/>
        </w:rPr>
      </w:pPr>
      <w:r>
        <w:rPr>
          <w:sz w:val="20"/>
          <w:szCs w:val="20"/>
        </w:rPr>
        <w:t>Adatok forrása: felvi.hu</w:t>
      </w:r>
    </w:p>
    <w:p>
      <w:pPr>
        <w:pStyle w:val="Normal"/>
        <w:jc w:val="both"/>
        <w:rPr/>
      </w:pPr>
      <w:r>
        <w:rPr/>
        <w:t>Olyan intézmények kerültek az országos rangsorban mögénk, mint a Semmelweis Egyetem (5890) Miskolci Egyetem (5088), Nyíregyházi Egyetem (3232).</w:t>
      </w:r>
    </w:p>
    <w:p>
      <w:pPr>
        <w:pStyle w:val="Normal"/>
        <w:jc w:val="both"/>
        <w:rPr/>
      </w:pPr>
      <w:r>
        <w:rPr/>
        <w:t>A vizsgált időszakban (2015-2018) nem sikerült az országos 10 között szerepelnünk a jelentkező hallgatók számát illetően.</w:t>
      </w:r>
    </w:p>
    <w:p>
      <w:pPr>
        <w:pStyle w:val="Normal"/>
        <w:jc w:val="both"/>
        <w:rPr/>
      </w:pPr>
      <w:r>
        <w:rPr/>
        <w:t>Az alábbi rangsorban a 2018-as normál felvételi eljárás során felvettek számát alapul véve, intézményünk a 12. helyen szerepel (forrás: felvi.hu):</w:t>
      </w:r>
    </w:p>
    <w:tbl>
      <w:tblPr>
        <w:tblW w:w="6931" w:type="dxa"/>
        <w:jc w:val="center"/>
        <w:tblInd w:w="0"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CellMar>
          <w:top w:w="0" w:type="dxa"/>
          <w:left w:w="69" w:type="dxa"/>
          <w:bottom w:w="0" w:type="dxa"/>
          <w:right w:w="70" w:type="dxa"/>
        </w:tblCellMar>
        <w:tblLook w:noVBand="1" w:val="04a0" w:noHBand="0" w:lastColumn="0" w:firstColumn="1" w:lastRow="0" w:firstRow="1"/>
      </w:tblPr>
      <w:tblGrid>
        <w:gridCol w:w="422"/>
        <w:gridCol w:w="4819"/>
        <w:gridCol w:w="1690"/>
      </w:tblGrid>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color="auto" w:fill="BDD6EE" w:themeFill="accent1" w:themeFillTint="66"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r>
          </w:p>
        </w:tc>
        <w:tc>
          <w:tcPr>
            <w:tcW w:w="4819" w:type="dxa"/>
            <w:tcBorders>
              <w:top w:val="single" w:sz="12" w:space="0" w:color="4472C4"/>
              <w:left w:val="single" w:sz="12" w:space="0" w:color="4472C4"/>
              <w:bottom w:val="single" w:sz="12" w:space="0" w:color="4472C4"/>
              <w:right w:val="single" w:sz="12" w:space="0" w:color="4472C4"/>
            </w:tcBorders>
            <w:shd w:color="auto" w:fill="BDD6EE" w:themeFill="accent1" w:themeFillTint="66" w:val="clear"/>
            <w:vAlign w:val="center"/>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INTÉZMÉNY NEVE</w:t>
            </w:r>
          </w:p>
        </w:tc>
        <w:tc>
          <w:tcPr>
            <w:tcW w:w="1690" w:type="dxa"/>
            <w:tcBorders>
              <w:top w:val="single" w:sz="12" w:space="0" w:color="4472C4"/>
              <w:left w:val="single" w:sz="12" w:space="0" w:color="4472C4"/>
              <w:bottom w:val="single" w:sz="12" w:space="0" w:color="4472C4"/>
              <w:right w:val="single" w:sz="12" w:space="0" w:color="4472C4"/>
            </w:tcBorders>
            <w:shd w:color="auto" w:fill="BDD6EE" w:themeFill="accent1" w:themeFillTint="66" w:val="clear"/>
            <w:vAlign w:val="center"/>
          </w:tcPr>
          <w:p>
            <w:pPr>
              <w:pStyle w:val="Normal"/>
              <w:spacing w:lineRule="auto" w:line="240" w:before="0" w:after="0"/>
              <w:jc w:val="center"/>
              <w:rPr>
                <w:rFonts w:ascii="Calibri" w:hAnsi="Calibri" w:eastAsia="Times New Roman" w:cs="Calibri"/>
                <w:b/>
                <w:b/>
                <w:color w:val="000000"/>
                <w:lang w:eastAsia="hu-HU"/>
              </w:rPr>
            </w:pPr>
            <w:r>
              <w:rPr>
                <w:rFonts w:eastAsia="Times New Roman" w:cs="Calibri"/>
                <w:b/>
                <w:color w:val="000000"/>
                <w:lang w:eastAsia="hu-HU"/>
              </w:rPr>
              <w:t>Felvett hallgatói létszám (fő)</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1.</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Eötvös Loránd Tudományegyetem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9744</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2.</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Debreceni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6621</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3.</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Budapesti Gazdasági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5846</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4.</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Szegedi Tudományegyetem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5817</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5.</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Pécsi Tudományegyetem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4903</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6.</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Budapesti Műszaki és Gazdaságtudományi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4789</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7.</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Széchenyi István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3762</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8.</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Budapesti Corvinus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3418</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9.</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Óbudai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3223</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10.</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Szent István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2920</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11.</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Károli Gáspár Református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2429</w:t>
            </w:r>
          </w:p>
        </w:tc>
      </w:tr>
      <w:tr>
        <w:trPr>
          <w:trHeight w:val="300" w:hRule="atLeast"/>
        </w:trPr>
        <w:tc>
          <w:tcPr>
            <w:tcW w:w="422"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b/>
                <w:b/>
                <w:color w:val="000000"/>
                <w:lang w:eastAsia="hu-HU"/>
              </w:rPr>
            </w:pPr>
            <w:r>
              <w:rPr>
                <w:rFonts w:eastAsia="Times New Roman" w:cs="Calibri"/>
                <w:b/>
                <w:color w:val="000000"/>
                <w:lang w:eastAsia="hu-HU"/>
              </w:rPr>
              <w:t>12.</w:t>
            </w:r>
          </w:p>
        </w:tc>
        <w:tc>
          <w:tcPr>
            <w:tcW w:w="4819"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rPr>
                <w:rFonts w:ascii="Calibri" w:hAnsi="Calibri" w:eastAsia="Times New Roman" w:cs="Calibri"/>
                <w:b/>
                <w:b/>
                <w:color w:val="000000"/>
                <w:lang w:eastAsia="hu-HU"/>
              </w:rPr>
            </w:pPr>
            <w:r>
              <w:rPr>
                <w:rFonts w:eastAsia="Times New Roman" w:cs="Calibri"/>
                <w:b/>
                <w:color w:val="000000"/>
                <w:lang w:eastAsia="hu-HU"/>
              </w:rPr>
              <w:t>Eszterházy Károly Egyetem</w:t>
            </w:r>
          </w:p>
        </w:tc>
        <w:tc>
          <w:tcPr>
            <w:tcW w:w="1690" w:type="dxa"/>
            <w:tcBorders>
              <w:top w:val="single" w:sz="12" w:space="0" w:color="4472C4"/>
              <w:left w:val="single" w:sz="12" w:space="0" w:color="4472C4"/>
              <w:bottom w:val="single" w:sz="12" w:space="0" w:color="4472C4"/>
              <w:right w:val="single" w:sz="12" w:space="0" w:color="4472C4"/>
            </w:tcBorders>
            <w:shd w:fill="auto"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000000"/>
                <w:lang w:eastAsia="hu-HU"/>
              </w:rPr>
              <w:t>2386</w:t>
            </w:r>
          </w:p>
        </w:tc>
      </w:tr>
    </w:tbl>
    <w:p>
      <w:pPr>
        <w:pStyle w:val="Normal"/>
        <w:jc w:val="both"/>
        <w:rPr/>
      </w:pPr>
      <w:r>
        <w:rPr/>
      </w:r>
    </w:p>
    <w:p>
      <w:pPr>
        <w:pStyle w:val="Normal"/>
        <w:jc w:val="both"/>
        <w:rPr/>
      </w:pPr>
      <w:r>
        <w:rPr/>
        <w:t>Országos és intézményi felvételi adatok összehasonlítása 2017-18 évben, felvettek arányának módosulását, csökkenő sorrendben bemutatva. Ezen összesítés alapján intézményünk az előkelő 2. helyen szerepel a 14%-os növekedéssel (a BGE-vel együtt), csak az ELTE előz meg bennünket, ott 16%-kal többelső éves hallgató lesz 2018-ben, 17-hez képest. (Ez az adatsor még a pótfelvételik eredményét nem tartalmazza.)</w:t>
      </w:r>
    </w:p>
    <w:tbl>
      <w:tblPr>
        <w:tblStyle w:val="Rcsostblzat"/>
        <w:tblW w:w="7933" w:type="dxa"/>
        <w:jc w:val="center"/>
        <w:tblInd w:w="0" w:type="dxa"/>
        <w:tblCellMar>
          <w:top w:w="0" w:type="dxa"/>
          <w:left w:w="108" w:type="dxa"/>
          <w:bottom w:w="0" w:type="dxa"/>
          <w:right w:w="108" w:type="dxa"/>
        </w:tblCellMar>
        <w:tblLook w:noVBand="1" w:val="04a0" w:noHBand="0" w:lastColumn="0" w:firstColumn="1" w:lastRow="0" w:firstRow="1"/>
      </w:tblPr>
      <w:tblGrid>
        <w:gridCol w:w="2405"/>
        <w:gridCol w:w="2124"/>
        <w:gridCol w:w="2129"/>
        <w:gridCol w:w="1274"/>
      </w:tblGrid>
      <w:tr>
        <w:trPr/>
        <w:tc>
          <w:tcPr>
            <w:tcW w:w="2405" w:type="dxa"/>
            <w:tcBorders/>
            <w:shd w:color="auto" w:fill="5B9BD5" w:themeFill="accent1" w:val="clear"/>
            <w:vAlign w:val="center"/>
          </w:tcPr>
          <w:p>
            <w:pPr>
              <w:pStyle w:val="Normal"/>
              <w:spacing w:lineRule="auto" w:line="240" w:before="0" w:after="0"/>
              <w:jc w:val="center"/>
              <w:rPr>
                <w:b/>
                <w:b/>
              </w:rPr>
            </w:pPr>
            <w:r>
              <w:rPr>
                <w:b/>
              </w:rPr>
              <w:t>Intézmény</w:t>
            </w:r>
          </w:p>
        </w:tc>
        <w:tc>
          <w:tcPr>
            <w:tcW w:w="2124" w:type="dxa"/>
            <w:tcBorders/>
            <w:shd w:color="auto" w:fill="5B9BD5" w:themeFill="accent1" w:val="clear"/>
            <w:vAlign w:val="bottom"/>
          </w:tcPr>
          <w:p>
            <w:pPr>
              <w:pStyle w:val="Normal"/>
              <w:spacing w:lineRule="auto" w:line="240" w:before="0" w:after="0"/>
              <w:jc w:val="center"/>
              <w:rPr>
                <w:b/>
                <w:b/>
              </w:rPr>
            </w:pPr>
            <w:r>
              <w:rPr>
                <w:b/>
              </w:rPr>
              <w:t>2018</w:t>
              <w:br/>
              <w:t>felvettek száma (fő)</w:t>
            </w:r>
          </w:p>
        </w:tc>
        <w:tc>
          <w:tcPr>
            <w:tcW w:w="2129" w:type="dxa"/>
            <w:tcBorders/>
            <w:shd w:color="auto" w:fill="5B9BD5" w:themeFill="accent1" w:val="clear"/>
            <w:vAlign w:val="bottom"/>
          </w:tcPr>
          <w:p>
            <w:pPr>
              <w:pStyle w:val="Normal"/>
              <w:spacing w:lineRule="auto" w:line="240" w:before="0" w:after="0"/>
              <w:jc w:val="center"/>
              <w:rPr>
                <w:b/>
                <w:b/>
              </w:rPr>
            </w:pPr>
            <w:r>
              <w:rPr>
                <w:b/>
              </w:rPr>
              <w:t xml:space="preserve">2017 </w:t>
              <w:br/>
              <w:t>felvettek száma (fő)</w:t>
            </w:r>
          </w:p>
        </w:tc>
        <w:tc>
          <w:tcPr>
            <w:tcW w:w="1274" w:type="dxa"/>
            <w:tcBorders/>
            <w:shd w:color="auto" w:fill="5B9BD5" w:themeFill="accent1" w:val="clear"/>
            <w:vAlign w:val="center"/>
          </w:tcPr>
          <w:p>
            <w:pPr>
              <w:pStyle w:val="Normal"/>
              <w:spacing w:lineRule="auto" w:line="240" w:before="0" w:after="0"/>
              <w:jc w:val="center"/>
              <w:rPr>
                <w:b/>
                <w:b/>
              </w:rPr>
            </w:pPr>
            <w:r>
              <w:rPr>
                <w:b/>
              </w:rPr>
              <w:t>eltérés (%)</w:t>
            </w:r>
          </w:p>
        </w:tc>
      </w:tr>
      <w:tr>
        <w:trPr/>
        <w:tc>
          <w:tcPr>
            <w:tcW w:w="2405" w:type="dxa"/>
            <w:tcBorders/>
            <w:shd w:color="auto" w:fill="70AD47" w:themeFill="accent6" w:val="clear"/>
          </w:tcPr>
          <w:p>
            <w:pPr>
              <w:pStyle w:val="Normal"/>
              <w:spacing w:lineRule="auto" w:line="240" w:before="0" w:after="0"/>
              <w:rPr>
                <w:b/>
                <w:b/>
              </w:rPr>
            </w:pPr>
            <w:r>
              <w:rPr>
                <w:b/>
              </w:rPr>
              <w:t>ORSZÁGOS ÖSSZESÍTÉS</w:t>
            </w:r>
          </w:p>
        </w:tc>
        <w:tc>
          <w:tcPr>
            <w:tcW w:w="2124" w:type="dxa"/>
            <w:tcBorders/>
            <w:shd w:color="auto" w:fill="70AD47" w:themeFill="accent6" w:val="clear"/>
          </w:tcPr>
          <w:p>
            <w:pPr>
              <w:pStyle w:val="Normal"/>
              <w:spacing w:lineRule="auto" w:line="240" w:before="0" w:after="0"/>
              <w:jc w:val="center"/>
              <w:rPr>
                <w:b/>
                <w:b/>
              </w:rPr>
            </w:pPr>
            <w:r>
              <w:rPr>
                <w:b/>
              </w:rPr>
              <w:t>75 230</w:t>
            </w:r>
          </w:p>
        </w:tc>
        <w:tc>
          <w:tcPr>
            <w:tcW w:w="2129" w:type="dxa"/>
            <w:tcBorders/>
            <w:shd w:color="auto" w:fill="70AD47" w:themeFill="accent6" w:val="clear"/>
          </w:tcPr>
          <w:p>
            <w:pPr>
              <w:pStyle w:val="Normal"/>
              <w:spacing w:lineRule="auto" w:line="240" w:before="0" w:after="0"/>
              <w:jc w:val="center"/>
              <w:rPr>
                <w:b/>
                <w:b/>
              </w:rPr>
            </w:pPr>
            <w:r>
              <w:rPr>
                <w:b/>
              </w:rPr>
              <w:t>72 758</w:t>
            </w:r>
          </w:p>
        </w:tc>
        <w:tc>
          <w:tcPr>
            <w:tcW w:w="1274" w:type="dxa"/>
            <w:tcBorders/>
            <w:shd w:color="auto" w:fill="70AD47" w:themeFill="accent6" w:val="clear"/>
          </w:tcPr>
          <w:p>
            <w:pPr>
              <w:pStyle w:val="Normal"/>
              <w:spacing w:lineRule="auto" w:line="240" w:before="0" w:after="0"/>
              <w:jc w:val="center"/>
              <w:rPr>
                <w:b/>
                <w:b/>
              </w:rPr>
            </w:pPr>
            <w:r>
              <w:rPr>
                <w:b/>
              </w:rPr>
              <w:t>3%</w:t>
            </w:r>
          </w:p>
        </w:tc>
      </w:tr>
      <w:tr>
        <w:trPr/>
        <w:tc>
          <w:tcPr>
            <w:tcW w:w="2405" w:type="dxa"/>
            <w:tcBorders/>
            <w:shd w:fill="auto" w:val="clear"/>
            <w:vAlign w:val="center"/>
          </w:tcPr>
          <w:p>
            <w:pPr>
              <w:pStyle w:val="Normal"/>
              <w:spacing w:lineRule="auto" w:line="240" w:before="0" w:after="0"/>
              <w:jc w:val="center"/>
              <w:rPr>
                <w:b/>
                <w:b/>
                <w:i/>
                <w:i/>
              </w:rPr>
            </w:pPr>
            <w:r>
              <w:rPr>
                <w:rFonts w:cs="Calibri"/>
              </w:rPr>
              <w:t>ELTE</w:t>
            </w:r>
          </w:p>
        </w:tc>
        <w:tc>
          <w:tcPr>
            <w:tcW w:w="2124" w:type="dxa"/>
            <w:tcBorders/>
            <w:shd w:fill="auto" w:val="clear"/>
            <w:vAlign w:val="center"/>
          </w:tcPr>
          <w:p>
            <w:pPr>
              <w:pStyle w:val="Normal"/>
              <w:spacing w:lineRule="auto" w:line="240" w:before="0" w:after="0"/>
              <w:jc w:val="center"/>
              <w:rPr>
                <w:b/>
                <w:b/>
                <w:i/>
                <w:i/>
              </w:rPr>
            </w:pPr>
            <w:r>
              <w:rPr>
                <w:rFonts w:cs="Calibri"/>
              </w:rPr>
              <w:t>9744</w:t>
            </w:r>
          </w:p>
        </w:tc>
        <w:tc>
          <w:tcPr>
            <w:tcW w:w="2129" w:type="dxa"/>
            <w:tcBorders/>
            <w:shd w:fill="auto" w:val="clear"/>
            <w:vAlign w:val="center"/>
          </w:tcPr>
          <w:p>
            <w:pPr>
              <w:pStyle w:val="Normal"/>
              <w:spacing w:lineRule="auto" w:line="240" w:before="0" w:after="0"/>
              <w:jc w:val="center"/>
              <w:rPr>
                <w:b/>
                <w:b/>
                <w:i/>
                <w:i/>
              </w:rPr>
            </w:pPr>
            <w:r>
              <w:rPr>
                <w:rFonts w:cs="Calibri"/>
              </w:rPr>
              <w:t>8412</w:t>
            </w:r>
          </w:p>
        </w:tc>
        <w:tc>
          <w:tcPr>
            <w:tcW w:w="1274" w:type="dxa"/>
            <w:tcBorders/>
            <w:shd w:fill="auto" w:val="clear"/>
            <w:vAlign w:val="center"/>
          </w:tcPr>
          <w:p>
            <w:pPr>
              <w:pStyle w:val="Normal"/>
              <w:spacing w:lineRule="auto" w:line="240" w:before="0" w:after="0"/>
              <w:jc w:val="center"/>
              <w:rPr>
                <w:b/>
                <w:b/>
                <w:i/>
                <w:i/>
              </w:rPr>
            </w:pPr>
            <w:r>
              <w:rPr>
                <w:rFonts w:cs="Calibri"/>
              </w:rPr>
              <w:t>16%</w:t>
            </w:r>
          </w:p>
        </w:tc>
      </w:tr>
      <w:tr>
        <w:trPr/>
        <w:tc>
          <w:tcPr>
            <w:tcW w:w="2405" w:type="dxa"/>
            <w:tcBorders/>
            <w:shd w:fill="auto" w:val="clear"/>
            <w:vAlign w:val="center"/>
          </w:tcPr>
          <w:p>
            <w:pPr>
              <w:pStyle w:val="Normal"/>
              <w:spacing w:lineRule="auto" w:line="240" w:before="0" w:after="0"/>
              <w:jc w:val="center"/>
              <w:rPr/>
            </w:pPr>
            <w:r>
              <w:rPr>
                <w:rFonts w:cs="Calibri"/>
                <w:b/>
                <w:bCs/>
                <w:i/>
                <w:iCs/>
              </w:rPr>
              <w:t>EKE</w:t>
            </w:r>
          </w:p>
        </w:tc>
        <w:tc>
          <w:tcPr>
            <w:tcW w:w="2124" w:type="dxa"/>
            <w:tcBorders/>
            <w:shd w:fill="auto" w:val="clear"/>
            <w:vAlign w:val="center"/>
          </w:tcPr>
          <w:p>
            <w:pPr>
              <w:pStyle w:val="Normal"/>
              <w:spacing w:lineRule="auto" w:line="240" w:before="0" w:after="0"/>
              <w:jc w:val="center"/>
              <w:rPr/>
            </w:pPr>
            <w:r>
              <w:rPr>
                <w:rFonts w:cs="Calibri"/>
                <w:b/>
                <w:bCs/>
                <w:i/>
                <w:iCs/>
              </w:rPr>
              <w:t>2386</w:t>
            </w:r>
          </w:p>
        </w:tc>
        <w:tc>
          <w:tcPr>
            <w:tcW w:w="2129" w:type="dxa"/>
            <w:tcBorders/>
            <w:shd w:fill="auto" w:val="clear"/>
            <w:vAlign w:val="center"/>
          </w:tcPr>
          <w:p>
            <w:pPr>
              <w:pStyle w:val="Normal"/>
              <w:spacing w:lineRule="auto" w:line="240" w:before="0" w:after="0"/>
              <w:jc w:val="center"/>
              <w:rPr/>
            </w:pPr>
            <w:r>
              <w:rPr>
                <w:rFonts w:cs="Calibri"/>
                <w:b/>
                <w:bCs/>
                <w:i/>
                <w:iCs/>
              </w:rPr>
              <w:t>2097</w:t>
            </w:r>
          </w:p>
        </w:tc>
        <w:tc>
          <w:tcPr>
            <w:tcW w:w="1274" w:type="dxa"/>
            <w:tcBorders/>
            <w:shd w:fill="auto" w:val="clear"/>
            <w:vAlign w:val="center"/>
          </w:tcPr>
          <w:p>
            <w:pPr>
              <w:pStyle w:val="Normal"/>
              <w:spacing w:lineRule="auto" w:line="240" w:before="0" w:after="0"/>
              <w:jc w:val="center"/>
              <w:rPr/>
            </w:pPr>
            <w:r>
              <w:rPr>
                <w:rFonts w:cs="Calibri"/>
                <w:b/>
                <w:bCs/>
                <w:i/>
                <w:iCs/>
              </w:rPr>
              <w:t>14%</w:t>
            </w:r>
          </w:p>
        </w:tc>
      </w:tr>
      <w:tr>
        <w:trPr/>
        <w:tc>
          <w:tcPr>
            <w:tcW w:w="2405" w:type="dxa"/>
            <w:tcBorders/>
            <w:shd w:fill="auto" w:val="clear"/>
            <w:vAlign w:val="center"/>
          </w:tcPr>
          <w:p>
            <w:pPr>
              <w:pStyle w:val="Normal"/>
              <w:spacing w:lineRule="auto" w:line="240" w:before="0" w:after="0"/>
              <w:jc w:val="center"/>
              <w:rPr/>
            </w:pPr>
            <w:r>
              <w:rPr>
                <w:rFonts w:cs="Calibri"/>
              </w:rPr>
              <w:t>BGE</w:t>
            </w:r>
          </w:p>
        </w:tc>
        <w:tc>
          <w:tcPr>
            <w:tcW w:w="2124" w:type="dxa"/>
            <w:tcBorders/>
            <w:shd w:fill="auto" w:val="clear"/>
            <w:vAlign w:val="center"/>
          </w:tcPr>
          <w:p>
            <w:pPr>
              <w:pStyle w:val="Normal"/>
              <w:spacing w:lineRule="auto" w:line="240" w:before="0" w:after="0"/>
              <w:jc w:val="center"/>
              <w:rPr/>
            </w:pPr>
            <w:r>
              <w:rPr>
                <w:rFonts w:cs="Calibri"/>
              </w:rPr>
              <w:t>5846</w:t>
            </w:r>
          </w:p>
        </w:tc>
        <w:tc>
          <w:tcPr>
            <w:tcW w:w="2129" w:type="dxa"/>
            <w:tcBorders/>
            <w:shd w:fill="auto" w:val="clear"/>
            <w:vAlign w:val="center"/>
          </w:tcPr>
          <w:p>
            <w:pPr>
              <w:pStyle w:val="Normal"/>
              <w:spacing w:lineRule="auto" w:line="240" w:before="0" w:after="0"/>
              <w:jc w:val="center"/>
              <w:rPr/>
            </w:pPr>
            <w:r>
              <w:rPr>
                <w:rFonts w:cs="Calibri"/>
              </w:rPr>
              <w:t>5143</w:t>
            </w:r>
          </w:p>
        </w:tc>
        <w:tc>
          <w:tcPr>
            <w:tcW w:w="1274" w:type="dxa"/>
            <w:tcBorders/>
            <w:shd w:fill="auto" w:val="clear"/>
            <w:vAlign w:val="center"/>
          </w:tcPr>
          <w:p>
            <w:pPr>
              <w:pStyle w:val="Normal"/>
              <w:spacing w:lineRule="auto" w:line="240" w:before="0" w:after="0"/>
              <w:jc w:val="center"/>
              <w:rPr/>
            </w:pPr>
            <w:r>
              <w:rPr>
                <w:rFonts w:cs="Calibri"/>
              </w:rPr>
              <w:t>14%</w:t>
            </w:r>
          </w:p>
        </w:tc>
      </w:tr>
      <w:tr>
        <w:trPr/>
        <w:tc>
          <w:tcPr>
            <w:tcW w:w="2405" w:type="dxa"/>
            <w:tcBorders/>
            <w:shd w:fill="auto" w:val="clear"/>
            <w:vAlign w:val="center"/>
          </w:tcPr>
          <w:p>
            <w:pPr>
              <w:pStyle w:val="Normal"/>
              <w:spacing w:lineRule="auto" w:line="240" w:before="0" w:after="0"/>
              <w:jc w:val="center"/>
              <w:rPr/>
            </w:pPr>
            <w:r>
              <w:rPr>
                <w:rFonts w:cs="Calibri"/>
              </w:rPr>
              <w:t>SZIE Győr</w:t>
            </w:r>
          </w:p>
        </w:tc>
        <w:tc>
          <w:tcPr>
            <w:tcW w:w="2124" w:type="dxa"/>
            <w:tcBorders/>
            <w:shd w:fill="auto" w:val="clear"/>
            <w:vAlign w:val="center"/>
          </w:tcPr>
          <w:p>
            <w:pPr>
              <w:pStyle w:val="Normal"/>
              <w:spacing w:lineRule="auto" w:line="240" w:before="0" w:after="0"/>
              <w:jc w:val="center"/>
              <w:rPr/>
            </w:pPr>
            <w:r>
              <w:rPr>
                <w:rFonts w:cs="Calibri"/>
              </w:rPr>
              <w:t>3762</w:t>
            </w:r>
          </w:p>
        </w:tc>
        <w:tc>
          <w:tcPr>
            <w:tcW w:w="2129" w:type="dxa"/>
            <w:tcBorders/>
            <w:shd w:fill="auto" w:val="clear"/>
            <w:vAlign w:val="center"/>
          </w:tcPr>
          <w:p>
            <w:pPr>
              <w:pStyle w:val="Normal"/>
              <w:spacing w:lineRule="auto" w:line="240" w:before="0" w:after="0"/>
              <w:jc w:val="center"/>
              <w:rPr/>
            </w:pPr>
            <w:r>
              <w:rPr>
                <w:rFonts w:cs="Calibri"/>
              </w:rPr>
              <w:t>3420</w:t>
            </w:r>
          </w:p>
        </w:tc>
        <w:tc>
          <w:tcPr>
            <w:tcW w:w="1274" w:type="dxa"/>
            <w:tcBorders/>
            <w:shd w:fill="auto" w:val="clear"/>
            <w:vAlign w:val="center"/>
          </w:tcPr>
          <w:p>
            <w:pPr>
              <w:pStyle w:val="Normal"/>
              <w:spacing w:lineRule="auto" w:line="240" w:before="0" w:after="0"/>
              <w:jc w:val="center"/>
              <w:rPr/>
            </w:pPr>
            <w:r>
              <w:rPr>
                <w:rFonts w:cs="Calibri"/>
              </w:rPr>
              <w:t>10%</w:t>
            </w:r>
          </w:p>
        </w:tc>
      </w:tr>
      <w:tr>
        <w:trPr/>
        <w:tc>
          <w:tcPr>
            <w:tcW w:w="2405" w:type="dxa"/>
            <w:tcBorders/>
            <w:shd w:fill="auto" w:val="clear"/>
            <w:vAlign w:val="center"/>
          </w:tcPr>
          <w:p>
            <w:pPr>
              <w:pStyle w:val="Normal"/>
              <w:spacing w:lineRule="auto" w:line="240" w:before="0" w:after="0"/>
              <w:jc w:val="center"/>
              <w:rPr/>
            </w:pPr>
            <w:r>
              <w:rPr>
                <w:rFonts w:cs="Calibri"/>
              </w:rPr>
              <w:t>KE (Kaposvár)</w:t>
            </w:r>
          </w:p>
        </w:tc>
        <w:tc>
          <w:tcPr>
            <w:tcW w:w="2124" w:type="dxa"/>
            <w:tcBorders/>
            <w:shd w:fill="auto" w:val="clear"/>
            <w:vAlign w:val="center"/>
          </w:tcPr>
          <w:p>
            <w:pPr>
              <w:pStyle w:val="Normal"/>
              <w:spacing w:lineRule="auto" w:line="240" w:before="0" w:after="0"/>
              <w:jc w:val="center"/>
              <w:rPr/>
            </w:pPr>
            <w:r>
              <w:rPr>
                <w:rFonts w:cs="Calibri"/>
              </w:rPr>
              <w:t>802</w:t>
            </w:r>
          </w:p>
        </w:tc>
        <w:tc>
          <w:tcPr>
            <w:tcW w:w="2129" w:type="dxa"/>
            <w:tcBorders/>
            <w:shd w:fill="auto" w:val="clear"/>
            <w:vAlign w:val="center"/>
          </w:tcPr>
          <w:p>
            <w:pPr>
              <w:pStyle w:val="Normal"/>
              <w:spacing w:lineRule="auto" w:line="240" w:before="0" w:after="0"/>
              <w:jc w:val="center"/>
              <w:rPr/>
            </w:pPr>
            <w:r>
              <w:rPr>
                <w:rFonts w:cs="Calibri"/>
              </w:rPr>
              <w:t>733</w:t>
            </w:r>
          </w:p>
        </w:tc>
        <w:tc>
          <w:tcPr>
            <w:tcW w:w="1274" w:type="dxa"/>
            <w:tcBorders/>
            <w:shd w:fill="auto" w:val="clear"/>
            <w:vAlign w:val="center"/>
          </w:tcPr>
          <w:p>
            <w:pPr>
              <w:pStyle w:val="Normal"/>
              <w:spacing w:lineRule="auto" w:line="240" w:before="0" w:after="0"/>
              <w:jc w:val="center"/>
              <w:rPr/>
            </w:pPr>
            <w:r>
              <w:rPr>
                <w:rFonts w:cs="Calibri"/>
              </w:rPr>
              <w:t>9%</w:t>
            </w:r>
          </w:p>
        </w:tc>
      </w:tr>
      <w:tr>
        <w:trPr/>
        <w:tc>
          <w:tcPr>
            <w:tcW w:w="2405" w:type="dxa"/>
            <w:tcBorders/>
            <w:shd w:fill="auto" w:val="clear"/>
            <w:vAlign w:val="center"/>
          </w:tcPr>
          <w:p>
            <w:pPr>
              <w:pStyle w:val="Normal"/>
              <w:spacing w:lineRule="auto" w:line="240" w:before="0" w:after="0"/>
              <w:jc w:val="center"/>
              <w:rPr/>
            </w:pPr>
            <w:r>
              <w:rPr>
                <w:rFonts w:cs="Calibri"/>
              </w:rPr>
              <w:t>DE</w:t>
            </w:r>
          </w:p>
        </w:tc>
        <w:tc>
          <w:tcPr>
            <w:tcW w:w="2124" w:type="dxa"/>
            <w:tcBorders/>
            <w:shd w:fill="auto" w:val="clear"/>
            <w:vAlign w:val="center"/>
          </w:tcPr>
          <w:p>
            <w:pPr>
              <w:pStyle w:val="Normal"/>
              <w:spacing w:lineRule="auto" w:line="240" w:before="0" w:after="0"/>
              <w:jc w:val="center"/>
              <w:rPr/>
            </w:pPr>
            <w:r>
              <w:rPr>
                <w:rFonts w:cs="Calibri"/>
              </w:rPr>
              <w:t>6621</w:t>
            </w:r>
          </w:p>
        </w:tc>
        <w:tc>
          <w:tcPr>
            <w:tcW w:w="2129" w:type="dxa"/>
            <w:tcBorders/>
            <w:shd w:fill="auto" w:val="clear"/>
            <w:vAlign w:val="center"/>
          </w:tcPr>
          <w:p>
            <w:pPr>
              <w:pStyle w:val="Normal"/>
              <w:spacing w:lineRule="auto" w:line="240" w:before="0" w:after="0"/>
              <w:jc w:val="center"/>
              <w:rPr/>
            </w:pPr>
            <w:r>
              <w:rPr>
                <w:rFonts w:cs="Calibri"/>
              </w:rPr>
              <w:t>6381</w:t>
            </w:r>
          </w:p>
        </w:tc>
        <w:tc>
          <w:tcPr>
            <w:tcW w:w="1274" w:type="dxa"/>
            <w:tcBorders/>
            <w:shd w:fill="auto" w:val="clear"/>
            <w:vAlign w:val="center"/>
          </w:tcPr>
          <w:p>
            <w:pPr>
              <w:pStyle w:val="Normal"/>
              <w:spacing w:lineRule="auto" w:line="240" w:before="0" w:after="0"/>
              <w:jc w:val="center"/>
              <w:rPr/>
            </w:pPr>
            <w:r>
              <w:rPr>
                <w:rFonts w:cs="Calibri"/>
              </w:rPr>
              <w:t>4%</w:t>
            </w:r>
          </w:p>
        </w:tc>
      </w:tr>
      <w:tr>
        <w:trPr/>
        <w:tc>
          <w:tcPr>
            <w:tcW w:w="2405" w:type="dxa"/>
            <w:tcBorders/>
            <w:shd w:fill="auto" w:val="clear"/>
            <w:vAlign w:val="center"/>
          </w:tcPr>
          <w:p>
            <w:pPr>
              <w:pStyle w:val="Normal"/>
              <w:spacing w:lineRule="auto" w:line="240" w:before="0" w:after="0"/>
              <w:jc w:val="center"/>
              <w:rPr/>
            </w:pPr>
            <w:r>
              <w:rPr>
                <w:rFonts w:cs="Calibri"/>
              </w:rPr>
              <w:t>ME</w:t>
            </w:r>
          </w:p>
        </w:tc>
        <w:tc>
          <w:tcPr>
            <w:tcW w:w="2124" w:type="dxa"/>
            <w:tcBorders/>
            <w:shd w:fill="auto" w:val="clear"/>
            <w:vAlign w:val="center"/>
          </w:tcPr>
          <w:p>
            <w:pPr>
              <w:pStyle w:val="Normal"/>
              <w:spacing w:lineRule="auto" w:line="240" w:before="0" w:after="0"/>
              <w:jc w:val="center"/>
              <w:rPr/>
            </w:pPr>
            <w:r>
              <w:rPr>
                <w:rFonts w:cs="Calibri"/>
              </w:rPr>
              <w:t>2316</w:t>
            </w:r>
          </w:p>
        </w:tc>
        <w:tc>
          <w:tcPr>
            <w:tcW w:w="2129" w:type="dxa"/>
            <w:tcBorders/>
            <w:shd w:fill="auto" w:val="clear"/>
            <w:vAlign w:val="center"/>
          </w:tcPr>
          <w:p>
            <w:pPr>
              <w:pStyle w:val="Normal"/>
              <w:spacing w:lineRule="auto" w:line="240" w:before="0" w:after="0"/>
              <w:jc w:val="center"/>
              <w:rPr/>
            </w:pPr>
            <w:r>
              <w:rPr>
                <w:rFonts w:cs="Calibri"/>
              </w:rPr>
              <w:t>2271</w:t>
            </w:r>
          </w:p>
        </w:tc>
        <w:tc>
          <w:tcPr>
            <w:tcW w:w="1274" w:type="dxa"/>
            <w:tcBorders/>
            <w:shd w:fill="auto" w:val="clear"/>
            <w:vAlign w:val="center"/>
          </w:tcPr>
          <w:p>
            <w:pPr>
              <w:pStyle w:val="Normal"/>
              <w:spacing w:lineRule="auto" w:line="240" w:before="0" w:after="0"/>
              <w:jc w:val="center"/>
              <w:rPr/>
            </w:pPr>
            <w:r>
              <w:rPr>
                <w:rFonts w:cs="Calibri"/>
              </w:rPr>
              <w:t>2%</w:t>
            </w:r>
          </w:p>
        </w:tc>
      </w:tr>
      <w:tr>
        <w:trPr/>
        <w:tc>
          <w:tcPr>
            <w:tcW w:w="2405" w:type="dxa"/>
            <w:tcBorders/>
            <w:shd w:fill="auto" w:val="clear"/>
            <w:vAlign w:val="center"/>
          </w:tcPr>
          <w:p>
            <w:pPr>
              <w:pStyle w:val="Normal"/>
              <w:spacing w:lineRule="auto" w:line="240" w:before="0" w:after="0"/>
              <w:jc w:val="center"/>
              <w:rPr/>
            </w:pPr>
            <w:r>
              <w:rPr>
                <w:rFonts w:cs="Calibri"/>
              </w:rPr>
              <w:t>DUE</w:t>
            </w:r>
          </w:p>
        </w:tc>
        <w:tc>
          <w:tcPr>
            <w:tcW w:w="2124" w:type="dxa"/>
            <w:tcBorders/>
            <w:shd w:fill="auto" w:val="clear"/>
            <w:vAlign w:val="center"/>
          </w:tcPr>
          <w:p>
            <w:pPr>
              <w:pStyle w:val="Normal"/>
              <w:spacing w:lineRule="auto" w:line="240" w:before="0" w:after="0"/>
              <w:jc w:val="center"/>
              <w:rPr/>
            </w:pPr>
            <w:r>
              <w:rPr>
                <w:rFonts w:cs="Calibri"/>
              </w:rPr>
              <w:t>438</w:t>
            </w:r>
          </w:p>
        </w:tc>
        <w:tc>
          <w:tcPr>
            <w:tcW w:w="2129" w:type="dxa"/>
            <w:tcBorders/>
            <w:shd w:fill="auto" w:val="clear"/>
            <w:vAlign w:val="center"/>
          </w:tcPr>
          <w:p>
            <w:pPr>
              <w:pStyle w:val="Normal"/>
              <w:spacing w:lineRule="auto" w:line="240" w:before="0" w:after="0"/>
              <w:jc w:val="center"/>
              <w:rPr/>
            </w:pPr>
            <w:r>
              <w:rPr>
                <w:rFonts w:cs="Calibri"/>
              </w:rPr>
              <w:t>431</w:t>
            </w:r>
          </w:p>
        </w:tc>
        <w:tc>
          <w:tcPr>
            <w:tcW w:w="1274" w:type="dxa"/>
            <w:tcBorders/>
            <w:shd w:fill="auto" w:val="clear"/>
            <w:vAlign w:val="center"/>
          </w:tcPr>
          <w:p>
            <w:pPr>
              <w:pStyle w:val="Normal"/>
              <w:spacing w:lineRule="auto" w:line="240" w:before="0" w:after="0"/>
              <w:jc w:val="center"/>
              <w:rPr/>
            </w:pPr>
            <w:r>
              <w:rPr>
                <w:rFonts w:cs="Calibri"/>
              </w:rPr>
              <w:t>2%</w:t>
            </w:r>
          </w:p>
        </w:tc>
      </w:tr>
      <w:tr>
        <w:trPr/>
        <w:tc>
          <w:tcPr>
            <w:tcW w:w="2405" w:type="dxa"/>
            <w:tcBorders/>
            <w:shd w:fill="auto" w:val="clear"/>
            <w:vAlign w:val="center"/>
          </w:tcPr>
          <w:p>
            <w:pPr>
              <w:pStyle w:val="Normal"/>
              <w:spacing w:lineRule="auto" w:line="240" w:before="0" w:after="0"/>
              <w:jc w:val="center"/>
              <w:rPr/>
            </w:pPr>
            <w:r>
              <w:rPr>
                <w:rFonts w:cs="Calibri"/>
              </w:rPr>
              <w:t>SZTE</w:t>
            </w:r>
          </w:p>
        </w:tc>
        <w:tc>
          <w:tcPr>
            <w:tcW w:w="2124" w:type="dxa"/>
            <w:tcBorders/>
            <w:shd w:fill="auto" w:val="clear"/>
            <w:vAlign w:val="center"/>
          </w:tcPr>
          <w:p>
            <w:pPr>
              <w:pStyle w:val="Normal"/>
              <w:spacing w:lineRule="auto" w:line="240" w:before="0" w:after="0"/>
              <w:jc w:val="center"/>
              <w:rPr/>
            </w:pPr>
            <w:r>
              <w:rPr>
                <w:rFonts w:cs="Calibri"/>
              </w:rPr>
              <w:t>5817</w:t>
            </w:r>
          </w:p>
        </w:tc>
        <w:tc>
          <w:tcPr>
            <w:tcW w:w="2129" w:type="dxa"/>
            <w:tcBorders/>
            <w:shd w:fill="auto" w:val="clear"/>
            <w:vAlign w:val="center"/>
          </w:tcPr>
          <w:p>
            <w:pPr>
              <w:pStyle w:val="Normal"/>
              <w:spacing w:lineRule="auto" w:line="240" w:before="0" w:after="0"/>
              <w:jc w:val="center"/>
              <w:rPr/>
            </w:pPr>
            <w:r>
              <w:rPr>
                <w:rFonts w:cs="Calibri"/>
              </w:rPr>
              <w:t>5734</w:t>
            </w:r>
          </w:p>
        </w:tc>
        <w:tc>
          <w:tcPr>
            <w:tcW w:w="1274" w:type="dxa"/>
            <w:tcBorders/>
            <w:shd w:fill="auto" w:val="clear"/>
            <w:vAlign w:val="center"/>
          </w:tcPr>
          <w:p>
            <w:pPr>
              <w:pStyle w:val="Normal"/>
              <w:spacing w:lineRule="auto" w:line="240" w:before="0" w:after="0"/>
              <w:jc w:val="center"/>
              <w:rPr/>
            </w:pPr>
            <w:r>
              <w:rPr>
                <w:rFonts w:cs="Calibri"/>
              </w:rPr>
              <w:t>1%</w:t>
            </w:r>
          </w:p>
        </w:tc>
      </w:tr>
      <w:tr>
        <w:trPr/>
        <w:tc>
          <w:tcPr>
            <w:tcW w:w="2405" w:type="dxa"/>
            <w:tcBorders/>
            <w:shd w:fill="auto" w:val="clear"/>
            <w:vAlign w:val="center"/>
          </w:tcPr>
          <w:p>
            <w:pPr>
              <w:pStyle w:val="Normal"/>
              <w:spacing w:lineRule="auto" w:line="240" w:before="0" w:after="0"/>
              <w:jc w:val="center"/>
              <w:rPr/>
            </w:pPr>
            <w:r>
              <w:rPr>
                <w:rFonts w:cs="Calibri"/>
              </w:rPr>
              <w:t>PTE</w:t>
            </w:r>
          </w:p>
        </w:tc>
        <w:tc>
          <w:tcPr>
            <w:tcW w:w="2124" w:type="dxa"/>
            <w:tcBorders/>
            <w:shd w:fill="auto" w:val="clear"/>
            <w:vAlign w:val="center"/>
          </w:tcPr>
          <w:p>
            <w:pPr>
              <w:pStyle w:val="Normal"/>
              <w:spacing w:lineRule="auto" w:line="240" w:before="0" w:after="0"/>
              <w:jc w:val="center"/>
              <w:rPr/>
            </w:pPr>
            <w:r>
              <w:rPr>
                <w:rFonts w:cs="Calibri"/>
              </w:rPr>
              <w:t>4903</w:t>
            </w:r>
          </w:p>
        </w:tc>
        <w:tc>
          <w:tcPr>
            <w:tcW w:w="2129" w:type="dxa"/>
            <w:tcBorders/>
            <w:shd w:fill="auto" w:val="clear"/>
            <w:vAlign w:val="center"/>
          </w:tcPr>
          <w:p>
            <w:pPr>
              <w:pStyle w:val="Normal"/>
              <w:spacing w:lineRule="auto" w:line="240" w:before="0" w:after="0"/>
              <w:jc w:val="center"/>
              <w:rPr/>
            </w:pPr>
            <w:r>
              <w:rPr>
                <w:rFonts w:cs="Calibri"/>
              </w:rPr>
              <w:t>4876</w:t>
            </w:r>
          </w:p>
        </w:tc>
        <w:tc>
          <w:tcPr>
            <w:tcW w:w="1274" w:type="dxa"/>
            <w:tcBorders/>
            <w:shd w:fill="auto" w:val="clear"/>
            <w:vAlign w:val="center"/>
          </w:tcPr>
          <w:p>
            <w:pPr>
              <w:pStyle w:val="Normal"/>
              <w:spacing w:lineRule="auto" w:line="240" w:before="0" w:after="0"/>
              <w:jc w:val="center"/>
              <w:rPr/>
            </w:pPr>
            <w:r>
              <w:rPr>
                <w:rFonts w:cs="Calibri"/>
              </w:rPr>
              <w:t>0,50%</w:t>
            </w:r>
          </w:p>
        </w:tc>
      </w:tr>
      <w:tr>
        <w:trPr/>
        <w:tc>
          <w:tcPr>
            <w:tcW w:w="2405" w:type="dxa"/>
            <w:tcBorders/>
            <w:shd w:fill="auto" w:val="clear"/>
            <w:vAlign w:val="center"/>
          </w:tcPr>
          <w:p>
            <w:pPr>
              <w:pStyle w:val="Normal"/>
              <w:spacing w:lineRule="auto" w:line="240" w:before="0" w:after="0"/>
              <w:jc w:val="center"/>
              <w:rPr/>
            </w:pPr>
            <w:r>
              <w:rPr>
                <w:rFonts w:cs="Calibri"/>
              </w:rPr>
              <w:t>PPKE</w:t>
            </w:r>
          </w:p>
        </w:tc>
        <w:tc>
          <w:tcPr>
            <w:tcW w:w="2124" w:type="dxa"/>
            <w:tcBorders/>
            <w:shd w:fill="auto" w:val="clear"/>
            <w:vAlign w:val="center"/>
          </w:tcPr>
          <w:p>
            <w:pPr>
              <w:pStyle w:val="Normal"/>
              <w:spacing w:lineRule="auto" w:line="240" w:before="0" w:after="0"/>
              <w:jc w:val="center"/>
              <w:rPr/>
            </w:pPr>
            <w:r>
              <w:rPr>
                <w:rFonts w:cs="Calibri"/>
              </w:rPr>
              <w:t>2171</w:t>
            </w:r>
          </w:p>
        </w:tc>
        <w:tc>
          <w:tcPr>
            <w:tcW w:w="2129" w:type="dxa"/>
            <w:tcBorders/>
            <w:shd w:fill="auto" w:val="clear"/>
            <w:vAlign w:val="center"/>
          </w:tcPr>
          <w:p>
            <w:pPr>
              <w:pStyle w:val="Normal"/>
              <w:spacing w:lineRule="auto" w:line="240" w:before="0" w:after="0"/>
              <w:jc w:val="center"/>
              <w:rPr/>
            </w:pPr>
            <w:r>
              <w:rPr>
                <w:rFonts w:cs="Calibri"/>
              </w:rPr>
              <w:t>2227</w:t>
            </w:r>
          </w:p>
        </w:tc>
        <w:tc>
          <w:tcPr>
            <w:tcW w:w="1274" w:type="dxa"/>
            <w:tcBorders/>
            <w:shd w:fill="auto" w:val="clear"/>
            <w:vAlign w:val="center"/>
          </w:tcPr>
          <w:p>
            <w:pPr>
              <w:pStyle w:val="Normal"/>
              <w:spacing w:lineRule="auto" w:line="240" w:before="0" w:after="0"/>
              <w:jc w:val="center"/>
              <w:rPr/>
            </w:pPr>
            <w:r>
              <w:rPr>
                <w:rFonts w:cs="Calibri"/>
              </w:rPr>
              <w:t>-3%</w:t>
            </w:r>
          </w:p>
        </w:tc>
      </w:tr>
      <w:tr>
        <w:trPr/>
        <w:tc>
          <w:tcPr>
            <w:tcW w:w="2405" w:type="dxa"/>
            <w:tcBorders/>
            <w:shd w:fill="auto" w:val="clear"/>
            <w:vAlign w:val="center"/>
          </w:tcPr>
          <w:p>
            <w:pPr>
              <w:pStyle w:val="Normal"/>
              <w:spacing w:lineRule="auto" w:line="240" w:before="0" w:after="0"/>
              <w:jc w:val="center"/>
              <w:rPr/>
            </w:pPr>
            <w:r>
              <w:rPr>
                <w:rFonts w:cs="Calibri"/>
              </w:rPr>
              <w:t>SZIE</w:t>
            </w:r>
          </w:p>
        </w:tc>
        <w:tc>
          <w:tcPr>
            <w:tcW w:w="2124" w:type="dxa"/>
            <w:tcBorders/>
            <w:shd w:fill="auto" w:val="clear"/>
            <w:vAlign w:val="center"/>
          </w:tcPr>
          <w:p>
            <w:pPr>
              <w:pStyle w:val="Normal"/>
              <w:spacing w:lineRule="auto" w:line="240" w:before="0" w:after="0"/>
              <w:jc w:val="center"/>
              <w:rPr/>
            </w:pPr>
            <w:r>
              <w:rPr>
                <w:rFonts w:cs="Calibri"/>
              </w:rPr>
              <w:t>2920</w:t>
            </w:r>
          </w:p>
        </w:tc>
        <w:tc>
          <w:tcPr>
            <w:tcW w:w="2129" w:type="dxa"/>
            <w:tcBorders/>
            <w:shd w:fill="auto" w:val="clear"/>
            <w:vAlign w:val="center"/>
          </w:tcPr>
          <w:p>
            <w:pPr>
              <w:pStyle w:val="Normal"/>
              <w:spacing w:lineRule="auto" w:line="240" w:before="0" w:after="0"/>
              <w:jc w:val="center"/>
              <w:rPr/>
            </w:pPr>
            <w:r>
              <w:rPr>
                <w:rFonts w:cs="Calibri"/>
              </w:rPr>
              <w:t>3036</w:t>
            </w:r>
          </w:p>
        </w:tc>
        <w:tc>
          <w:tcPr>
            <w:tcW w:w="1274" w:type="dxa"/>
            <w:tcBorders/>
            <w:shd w:fill="auto" w:val="clear"/>
            <w:vAlign w:val="center"/>
          </w:tcPr>
          <w:p>
            <w:pPr>
              <w:pStyle w:val="Normal"/>
              <w:spacing w:lineRule="auto" w:line="240" w:before="0" w:after="0"/>
              <w:jc w:val="center"/>
              <w:rPr/>
            </w:pPr>
            <w:r>
              <w:rPr>
                <w:rFonts w:cs="Calibri"/>
              </w:rPr>
              <w:t>-4%</w:t>
            </w:r>
          </w:p>
        </w:tc>
      </w:tr>
      <w:tr>
        <w:trPr/>
        <w:tc>
          <w:tcPr>
            <w:tcW w:w="2405" w:type="dxa"/>
            <w:tcBorders/>
            <w:shd w:fill="auto" w:val="clear"/>
            <w:vAlign w:val="center"/>
          </w:tcPr>
          <w:p>
            <w:pPr>
              <w:pStyle w:val="Normal"/>
              <w:spacing w:lineRule="auto" w:line="240" w:before="0" w:after="0"/>
              <w:jc w:val="center"/>
              <w:rPr/>
            </w:pPr>
            <w:r>
              <w:rPr>
                <w:rFonts w:cs="Calibri"/>
              </w:rPr>
              <w:t>NYE</w:t>
            </w:r>
          </w:p>
        </w:tc>
        <w:tc>
          <w:tcPr>
            <w:tcW w:w="2124" w:type="dxa"/>
            <w:tcBorders/>
            <w:shd w:fill="auto" w:val="clear"/>
            <w:vAlign w:val="center"/>
          </w:tcPr>
          <w:p>
            <w:pPr>
              <w:pStyle w:val="Normal"/>
              <w:spacing w:lineRule="auto" w:line="240" w:before="0" w:after="0"/>
              <w:jc w:val="center"/>
              <w:rPr/>
            </w:pPr>
            <w:r>
              <w:rPr>
                <w:rFonts w:cs="Calibri"/>
              </w:rPr>
              <w:t>1088</w:t>
            </w:r>
          </w:p>
        </w:tc>
        <w:tc>
          <w:tcPr>
            <w:tcW w:w="2129" w:type="dxa"/>
            <w:tcBorders/>
            <w:shd w:fill="auto" w:val="clear"/>
            <w:vAlign w:val="center"/>
          </w:tcPr>
          <w:p>
            <w:pPr>
              <w:pStyle w:val="Normal"/>
              <w:spacing w:lineRule="auto" w:line="240" w:before="0" w:after="0"/>
              <w:jc w:val="center"/>
              <w:rPr/>
            </w:pPr>
            <w:r>
              <w:rPr>
                <w:rFonts w:cs="Calibri"/>
              </w:rPr>
              <w:t>1142</w:t>
            </w:r>
          </w:p>
        </w:tc>
        <w:tc>
          <w:tcPr>
            <w:tcW w:w="1274" w:type="dxa"/>
            <w:tcBorders/>
            <w:shd w:fill="auto" w:val="clear"/>
            <w:vAlign w:val="center"/>
          </w:tcPr>
          <w:p>
            <w:pPr>
              <w:pStyle w:val="Normal"/>
              <w:spacing w:lineRule="auto" w:line="240" w:before="0" w:after="0"/>
              <w:jc w:val="center"/>
              <w:rPr/>
            </w:pPr>
            <w:r>
              <w:rPr>
                <w:rFonts w:cs="Calibri"/>
              </w:rPr>
              <w:t>-5%</w:t>
            </w:r>
          </w:p>
        </w:tc>
      </w:tr>
      <w:tr>
        <w:trPr/>
        <w:tc>
          <w:tcPr>
            <w:tcW w:w="2405" w:type="dxa"/>
            <w:tcBorders/>
            <w:shd w:fill="auto" w:val="clear"/>
            <w:vAlign w:val="center"/>
          </w:tcPr>
          <w:p>
            <w:pPr>
              <w:pStyle w:val="Normal"/>
              <w:spacing w:lineRule="auto" w:line="240" w:before="0" w:after="0"/>
              <w:jc w:val="center"/>
              <w:rPr/>
            </w:pPr>
            <w:r>
              <w:rPr>
                <w:rFonts w:cs="Calibri"/>
              </w:rPr>
              <w:t>ZSKE</w:t>
            </w:r>
          </w:p>
        </w:tc>
        <w:tc>
          <w:tcPr>
            <w:tcW w:w="2124" w:type="dxa"/>
            <w:tcBorders/>
            <w:shd w:fill="auto" w:val="clear"/>
            <w:vAlign w:val="center"/>
          </w:tcPr>
          <w:p>
            <w:pPr>
              <w:pStyle w:val="Normal"/>
              <w:spacing w:lineRule="auto" w:line="240" w:before="0" w:after="0"/>
              <w:jc w:val="center"/>
              <w:rPr/>
            </w:pPr>
            <w:r>
              <w:rPr>
                <w:rFonts w:cs="Calibri"/>
              </w:rPr>
              <w:t>249</w:t>
            </w:r>
          </w:p>
        </w:tc>
        <w:tc>
          <w:tcPr>
            <w:tcW w:w="2129" w:type="dxa"/>
            <w:tcBorders/>
            <w:shd w:fill="auto" w:val="clear"/>
            <w:vAlign w:val="center"/>
          </w:tcPr>
          <w:p>
            <w:pPr>
              <w:pStyle w:val="Normal"/>
              <w:spacing w:lineRule="auto" w:line="240" w:before="0" w:after="0"/>
              <w:jc w:val="center"/>
              <w:rPr/>
            </w:pPr>
            <w:r>
              <w:rPr>
                <w:rFonts w:cs="Calibri"/>
              </w:rPr>
              <w:t>264</w:t>
            </w:r>
          </w:p>
        </w:tc>
        <w:tc>
          <w:tcPr>
            <w:tcW w:w="1274" w:type="dxa"/>
            <w:tcBorders/>
            <w:shd w:fill="auto" w:val="clear"/>
            <w:vAlign w:val="center"/>
          </w:tcPr>
          <w:p>
            <w:pPr>
              <w:pStyle w:val="Normal"/>
              <w:spacing w:lineRule="auto" w:line="240" w:before="0" w:after="0"/>
              <w:jc w:val="center"/>
              <w:rPr/>
            </w:pPr>
            <w:r>
              <w:rPr>
                <w:rFonts w:cs="Calibri"/>
              </w:rPr>
              <w:t>-6%</w:t>
            </w:r>
          </w:p>
        </w:tc>
      </w:tr>
      <w:tr>
        <w:trPr/>
        <w:tc>
          <w:tcPr>
            <w:tcW w:w="2405" w:type="dxa"/>
            <w:tcBorders/>
            <w:shd w:fill="auto" w:val="clear"/>
            <w:vAlign w:val="center"/>
          </w:tcPr>
          <w:p>
            <w:pPr>
              <w:pStyle w:val="Normal"/>
              <w:spacing w:lineRule="auto" w:line="240" w:before="0" w:after="0"/>
              <w:jc w:val="center"/>
              <w:rPr/>
            </w:pPr>
            <w:r>
              <w:rPr>
                <w:rFonts w:cs="Calibri"/>
              </w:rPr>
              <w:t>NKE</w:t>
            </w:r>
          </w:p>
        </w:tc>
        <w:tc>
          <w:tcPr>
            <w:tcW w:w="2124" w:type="dxa"/>
            <w:tcBorders/>
            <w:shd w:fill="auto" w:val="clear"/>
            <w:vAlign w:val="center"/>
          </w:tcPr>
          <w:p>
            <w:pPr>
              <w:pStyle w:val="Normal"/>
              <w:spacing w:lineRule="auto" w:line="240" w:before="0" w:after="0"/>
              <w:jc w:val="center"/>
              <w:rPr/>
            </w:pPr>
            <w:r>
              <w:rPr>
                <w:rFonts w:cs="Calibri"/>
              </w:rPr>
              <w:t>1785</w:t>
            </w:r>
          </w:p>
        </w:tc>
        <w:tc>
          <w:tcPr>
            <w:tcW w:w="2129" w:type="dxa"/>
            <w:tcBorders/>
            <w:shd w:fill="auto" w:val="clear"/>
            <w:vAlign w:val="center"/>
          </w:tcPr>
          <w:p>
            <w:pPr>
              <w:pStyle w:val="Normal"/>
              <w:spacing w:lineRule="auto" w:line="240" w:before="0" w:after="0"/>
              <w:jc w:val="center"/>
              <w:rPr/>
            </w:pPr>
            <w:r>
              <w:rPr>
                <w:rFonts w:cs="Calibri"/>
              </w:rPr>
              <w:t>1977</w:t>
            </w:r>
          </w:p>
        </w:tc>
        <w:tc>
          <w:tcPr>
            <w:tcW w:w="1274" w:type="dxa"/>
            <w:tcBorders/>
            <w:shd w:fill="auto" w:val="clear"/>
            <w:vAlign w:val="center"/>
          </w:tcPr>
          <w:p>
            <w:pPr>
              <w:pStyle w:val="Normal"/>
              <w:spacing w:lineRule="auto" w:line="240" w:before="0" w:after="0"/>
              <w:jc w:val="center"/>
              <w:rPr/>
            </w:pPr>
            <w:r>
              <w:rPr>
                <w:rFonts w:cs="Calibri"/>
              </w:rPr>
              <w:t>-10%</w:t>
            </w:r>
          </w:p>
        </w:tc>
      </w:tr>
    </w:tbl>
    <w:p>
      <w:pPr>
        <w:pStyle w:val="Normal"/>
        <w:jc w:val="both"/>
        <w:rPr/>
      </w:pPr>
      <w:r>
        <w:rPr/>
      </w:r>
    </w:p>
    <w:p>
      <w:pPr>
        <w:pStyle w:val="Normal"/>
        <w:jc w:val="both"/>
        <w:rPr/>
      </w:pPr>
      <w:r>
        <w:rPr/>
      </w:r>
    </w:p>
    <w:p>
      <w:pPr>
        <w:pStyle w:val="Heading2"/>
        <w:rPr>
          <w:b/>
          <w:b/>
          <w:sz w:val="32"/>
          <w:szCs w:val="32"/>
        </w:rPr>
      </w:pPr>
      <w:bookmarkStart w:id="6" w:name="_Toc4068111"/>
      <w:r>
        <w:rPr>
          <w:b/>
          <w:sz w:val="32"/>
          <w:szCs w:val="32"/>
        </w:rPr>
        <w:t>Intézményi adatok</w:t>
      </w:r>
      <w:bookmarkEnd w:id="6"/>
    </w:p>
    <w:p>
      <w:pPr>
        <w:pStyle w:val="Normal"/>
        <w:rPr/>
      </w:pPr>
      <w:r>
        <w:rPr/>
      </w:r>
    </w:p>
    <w:p>
      <w:pPr>
        <w:pStyle w:val="Normal"/>
        <w:jc w:val="both"/>
        <w:rPr/>
      </w:pPr>
      <w:r>
        <w:rPr/>
        <w:t xml:space="preserve">Az </w:t>
      </w:r>
      <w:r>
        <w:rPr>
          <w:b/>
        </w:rPr>
        <w:t xml:space="preserve">Eszterházy Károly Egyetem </w:t>
      </w:r>
      <w:r>
        <w:rPr/>
        <w:t>jelentkezési adatait az egyetemmé válás időpontjától (2016), illetve az ide valójelentkezés határidejétől, 2015-től elemezzük.</w:t>
      </w:r>
    </w:p>
    <w:p>
      <w:pPr>
        <w:pStyle w:val="Normal"/>
        <w:jc w:val="both"/>
        <w:rPr/>
      </w:pPr>
      <w:r>
        <w:rPr/>
        <w:t xml:space="preserve">Az egyetem jogelőd intézményei: </w:t>
      </w:r>
    </w:p>
    <w:p>
      <w:pPr>
        <w:pStyle w:val="ListParagraph"/>
        <w:numPr>
          <w:ilvl w:val="0"/>
          <w:numId w:val="2"/>
        </w:numPr>
        <w:rPr/>
      </w:pPr>
      <w:r>
        <w:rPr>
          <w:b/>
        </w:rPr>
        <w:t>Eszterházy Károly Főiskola (Eger)</w:t>
      </w:r>
      <w:r>
        <w:rPr/>
        <w:t xml:space="preserve">, </w:t>
      </w:r>
    </w:p>
    <w:p>
      <w:pPr>
        <w:pStyle w:val="ListParagraph"/>
        <w:numPr>
          <w:ilvl w:val="1"/>
          <w:numId w:val="2"/>
        </w:numPr>
        <w:rPr>
          <w:b/>
          <w:b/>
        </w:rPr>
      </w:pPr>
      <w:r>
        <w:rPr/>
        <w:t xml:space="preserve">az Eszterházy Károly Főiskolához 2013-ban csatlakozott a </w:t>
      </w:r>
      <w:r>
        <w:rPr>
          <w:b/>
        </w:rPr>
        <w:t>Sárospataki Comenius Kar (Sárospatak),</w:t>
      </w:r>
    </w:p>
    <w:p>
      <w:pPr>
        <w:pStyle w:val="ListParagraph"/>
        <w:numPr>
          <w:ilvl w:val="0"/>
          <w:numId w:val="2"/>
        </w:numPr>
        <w:rPr/>
      </w:pPr>
      <w:r>
        <w:rPr>
          <w:b/>
        </w:rPr>
        <w:t>Károly Róbert Főiskola (Gyöngyös</w:t>
      </w:r>
      <w:r>
        <w:rPr/>
        <w:t xml:space="preserve">), </w:t>
      </w:r>
    </w:p>
    <w:p>
      <w:pPr>
        <w:pStyle w:val="ListParagraph"/>
        <w:numPr>
          <w:ilvl w:val="0"/>
          <w:numId w:val="2"/>
        </w:numPr>
        <w:rPr/>
      </w:pPr>
      <w:r>
        <w:rPr>
          <w:b/>
        </w:rPr>
        <w:t>Szent István Egyetem Jászberényi Alkalmazott Bölcsészettudományi és Pedagógiai Kara (Jászberény)</w:t>
      </w:r>
      <w:r>
        <w:rPr/>
        <w:t xml:space="preserve">, </w:t>
      </w:r>
    </w:p>
    <w:p>
      <w:pPr>
        <w:pStyle w:val="ListParagraph"/>
        <w:numPr>
          <w:ilvl w:val="0"/>
          <w:numId w:val="2"/>
        </w:numPr>
        <w:rPr/>
      </w:pPr>
      <w:r>
        <w:rPr/>
        <w:t>Oktatáskutatási és Fejlesztő Intézet (Budapest), mely jelen tanulmányunk szempontjából nem értelmezhető.</w:t>
      </w:r>
    </w:p>
    <w:p>
      <w:pPr>
        <w:pStyle w:val="Normal"/>
        <w:jc w:val="both"/>
        <w:rPr/>
      </w:pPr>
      <w:r>
        <w:rPr/>
        <w:t xml:space="preserve">Az egyetem képzési struktúrája karokra oszlik, a képzési helyeket kampuszoknak nevezzük. </w:t>
      </w:r>
    </w:p>
    <w:p>
      <w:pPr>
        <w:pStyle w:val="ListParagraph"/>
        <w:numPr>
          <w:ilvl w:val="0"/>
          <w:numId w:val="3"/>
        </w:numPr>
        <w:jc w:val="both"/>
        <w:rPr/>
      </w:pPr>
      <w:r>
        <w:rPr/>
        <w:t>Agrártudományi és Vidékfejlesztési Kar, gyöngyösi képzési központtal, Egri, Gyöngyösi, Sárospataki Campuson zajló képzésekkel.</w:t>
      </w:r>
    </w:p>
    <w:p>
      <w:pPr>
        <w:pStyle w:val="ListParagraph"/>
        <w:numPr>
          <w:ilvl w:val="0"/>
          <w:numId w:val="3"/>
        </w:numPr>
        <w:jc w:val="both"/>
        <w:rPr/>
      </w:pPr>
      <w:r>
        <w:rPr/>
        <w:t>Bölcsészettudományi Kar, egri képzési központtal.</w:t>
      </w:r>
    </w:p>
    <w:p>
      <w:pPr>
        <w:pStyle w:val="ListParagraph"/>
        <w:numPr>
          <w:ilvl w:val="0"/>
          <w:numId w:val="3"/>
        </w:numPr>
        <w:jc w:val="both"/>
        <w:rPr/>
      </w:pPr>
      <w:r>
        <w:rPr/>
        <w:t>Gazdaság- és társadalomtudományi Kar, egri képzési központtal, egri és gyöngyösi képzésekkel.</w:t>
      </w:r>
    </w:p>
    <w:p>
      <w:pPr>
        <w:pStyle w:val="ListParagraph"/>
        <w:numPr>
          <w:ilvl w:val="0"/>
          <w:numId w:val="3"/>
        </w:numPr>
        <w:jc w:val="both"/>
        <w:rPr/>
      </w:pPr>
      <w:r>
        <w:rPr/>
        <w:t>Pedagógiai Kar, egri képzési központtal, Egri, Jászberényi, Sárospataki Campuson zajlanak képzések.</w:t>
      </w:r>
    </w:p>
    <w:p>
      <w:pPr>
        <w:pStyle w:val="ListParagraph"/>
        <w:numPr>
          <w:ilvl w:val="0"/>
          <w:numId w:val="3"/>
        </w:numPr>
        <w:jc w:val="both"/>
        <w:rPr/>
      </w:pPr>
      <w:r>
        <w:rPr/>
        <w:t xml:space="preserve">Természettudományi Kar, mely az Egri Campuson szervezi képzéseit. </w:t>
      </w:r>
    </w:p>
    <w:p>
      <w:pPr>
        <w:pStyle w:val="Normal"/>
        <w:rPr>
          <w:b/>
          <w:b/>
        </w:rPr>
      </w:pPr>
      <w:r>
        <w:rPr>
          <w:b/>
        </w:rPr>
      </w:r>
      <w:r>
        <w:br w:type="page"/>
      </w:r>
    </w:p>
    <w:p>
      <w:pPr>
        <w:pStyle w:val="Normal"/>
        <w:jc w:val="both"/>
        <w:rPr>
          <w:b/>
          <w:b/>
        </w:rPr>
      </w:pPr>
      <w:r>
        <w:rPr>
          <w:b/>
        </w:rPr>
      </w:r>
    </w:p>
    <w:p>
      <w:pPr>
        <w:pStyle w:val="Heading2"/>
        <w:rPr>
          <w:b/>
          <w:b/>
          <w:sz w:val="32"/>
          <w:szCs w:val="32"/>
        </w:rPr>
      </w:pPr>
      <w:bookmarkStart w:id="7" w:name="_Toc4068112"/>
      <w:r>
        <w:rPr>
          <w:b/>
          <w:sz w:val="32"/>
          <w:szCs w:val="32"/>
        </w:rPr>
        <w:t>Agrártudományi és Vidékfejlesztési Kar</w:t>
      </w:r>
      <w:bookmarkEnd w:id="7"/>
    </w:p>
    <w:p>
      <w:pPr>
        <w:pStyle w:val="Normal"/>
        <w:rPr/>
      </w:pPr>
      <w:r>
        <w:rPr/>
      </w:r>
    </w:p>
    <w:p>
      <w:pPr>
        <w:pStyle w:val="Normal"/>
        <w:jc w:val="both"/>
        <w:rPr/>
      </w:pPr>
      <w:r>
        <w:rPr/>
        <w:t>Az oktatás a karon kizárólag az agrártudományi képzési területen zajlik, gyöngyösi központtal, de Egerbe és Sárospatakra is kihelyezett helyszínnel (szőlész- borász, szőlész- borász mérnöki szakok). A karon meghirdetett szakok száma 28, a kar nem indít osztatlan tanári képzést, csak alap, mester és FOSZ rendszerű szakokat.</w:t>
      </w:r>
    </w:p>
    <w:p>
      <w:pPr>
        <w:pStyle w:val="Normal"/>
        <w:jc w:val="both"/>
        <w:rPr/>
      </w:pPr>
      <w:r>
        <w:rPr/>
        <w:drawing>
          <wp:inline distT="0" distB="0" distL="0" distR="0">
            <wp:extent cx="5791200" cy="270510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before="0" w:after="0"/>
        <w:jc w:val="both"/>
        <w:rPr/>
      </w:pPr>
      <w:r>
        <w:rPr/>
        <w:t>Összes jelentkezői létszám 2015-18 között: 686, 805, 636, 634 fő</w:t>
      </w:r>
    </w:p>
    <w:p>
      <w:pPr>
        <w:pStyle w:val="Normal"/>
        <w:spacing w:before="0" w:after="0"/>
        <w:jc w:val="both"/>
        <w:rPr/>
      </w:pPr>
      <w:r>
        <w:rPr/>
        <w:t>Összes felvett hallgatói létszám 2015-18 között: 90, 140, 109, 134 fő</w:t>
      </w:r>
    </w:p>
    <w:p>
      <w:pPr>
        <w:pStyle w:val="Normal"/>
        <w:spacing w:before="0" w:after="0"/>
        <w:jc w:val="both"/>
        <w:rPr/>
      </w:pPr>
      <w:r>
        <w:rPr/>
        <w:t>Összes első helyes jelentkező száma 2015-18 között: 160, 209, 180, 167 fő</w:t>
      </w:r>
    </w:p>
    <w:p>
      <w:pPr>
        <w:pStyle w:val="Normal"/>
        <w:spacing w:before="0" w:after="0"/>
        <w:jc w:val="both"/>
        <w:rPr/>
      </w:pPr>
      <w:r>
        <w:rPr/>
        <w:t>Alapképzésre jelentkezettek száma (2018-ban): összesen 466 fő, ebből nappali 227, levelező 239 fő.</w:t>
      </w:r>
    </w:p>
    <w:p>
      <w:pPr>
        <w:pStyle w:val="Normal"/>
        <w:spacing w:before="0" w:after="0"/>
        <w:jc w:val="both"/>
        <w:rPr/>
      </w:pPr>
      <w:r>
        <w:rPr/>
        <w:t>Mesterképzésre jelentkezettek száma (2018-ban): összesen 13 fő, ebből nappali 1, levelező 12 fő.</w:t>
      </w:r>
    </w:p>
    <w:p>
      <w:pPr>
        <w:pStyle w:val="Normal"/>
        <w:spacing w:before="0" w:after="0"/>
        <w:jc w:val="both"/>
        <w:rPr/>
      </w:pPr>
      <w:r>
        <w:rPr/>
        <w:t>FOSZ képzésre jelentkezettek száma (2018-ban): összesen 155 fő, ebből nappali 71, levelező 84 fő.</w:t>
      </w:r>
    </w:p>
    <w:p>
      <w:pPr>
        <w:pStyle w:val="Normal"/>
        <w:spacing w:before="0" w:after="0"/>
        <w:jc w:val="both"/>
        <w:rPr/>
      </w:pPr>
      <w:r>
        <w:rPr/>
        <w:t>Nappali tagozat összesen (2018): 299 fő, mely az összejelentkezői létszám 47%-a.</w:t>
      </w:r>
    </w:p>
    <w:p>
      <w:pPr>
        <w:pStyle w:val="Normal"/>
        <w:spacing w:before="0" w:after="0"/>
        <w:jc w:val="both"/>
        <w:rPr/>
      </w:pPr>
      <w:r>
        <w:rPr/>
        <w:t>Levelező tagozat összesen (2018): 335 fő, az összjelentkezői létszám 53%-a.</w:t>
      </w:r>
    </w:p>
    <w:p>
      <w:pPr>
        <w:pStyle w:val="Normal"/>
        <w:spacing w:before="0" w:after="0"/>
        <w:jc w:val="both"/>
        <w:rPr/>
      </w:pPr>
      <w:r>
        <w:rPr/>
        <w:t xml:space="preserve">Alapképzésre </w:t>
      </w:r>
      <w:r>
        <w:rPr>
          <w:i/>
        </w:rPr>
        <w:t xml:space="preserve">felvettek </w:t>
      </w:r>
      <w:r>
        <w:rPr/>
        <w:t>száma (2018-ban): összesen 80 fő, ebből nappali 32, levelező 48 fő.</w:t>
      </w:r>
    </w:p>
    <w:p>
      <w:pPr>
        <w:pStyle w:val="Normal"/>
        <w:spacing w:before="0" w:after="0"/>
        <w:jc w:val="both"/>
        <w:rPr/>
      </w:pPr>
      <w:r>
        <w:rPr/>
        <w:t xml:space="preserve">Mesterképzésre </w:t>
      </w:r>
      <w:r>
        <w:rPr>
          <w:i/>
        </w:rPr>
        <w:t>felvettek</w:t>
      </w:r>
      <w:r>
        <w:rPr/>
        <w:t xml:space="preserve"> száma (2018-ban): összesen 4 fő, ebből nappali 0, levelező 4 fő.</w:t>
      </w:r>
    </w:p>
    <w:p>
      <w:pPr>
        <w:pStyle w:val="Normal"/>
        <w:spacing w:before="0" w:after="0"/>
        <w:jc w:val="both"/>
        <w:rPr/>
      </w:pPr>
      <w:r>
        <w:rPr/>
        <w:t xml:space="preserve">FOSZ képzésre </w:t>
      </w:r>
      <w:r>
        <w:rPr>
          <w:i/>
        </w:rPr>
        <w:t xml:space="preserve">felvettek </w:t>
      </w:r>
      <w:r>
        <w:rPr/>
        <w:t>száma (2018-ban): összesen 50 fő, ebből nappali 18, levelező 32 fő.</w:t>
      </w:r>
    </w:p>
    <w:p>
      <w:pPr>
        <w:pStyle w:val="Normal"/>
        <w:spacing w:before="0" w:after="0"/>
        <w:jc w:val="both"/>
        <w:rPr/>
      </w:pPr>
      <w:r>
        <w:rPr/>
      </w:r>
    </w:p>
    <w:p>
      <w:pPr>
        <w:pStyle w:val="Normal"/>
        <w:spacing w:before="0" w:after="0"/>
        <w:jc w:val="both"/>
        <w:rPr/>
      </w:pPr>
      <w:r>
        <w:rPr/>
        <w:drawing>
          <wp:inline distT="0" distB="0" distL="0" distR="0">
            <wp:extent cx="5838825" cy="2085975"/>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jc w:val="center"/>
        <w:rPr/>
      </w:pPr>
      <w:r>
        <w:rPr/>
      </w:r>
    </w:p>
    <w:p>
      <w:pPr>
        <w:pStyle w:val="Normal"/>
        <w:jc w:val="both"/>
        <w:rPr/>
      </w:pPr>
      <w:r>
        <w:rPr/>
        <w:t>A 2015-18-ig terjedő időszakban csökkenő arányt mutat az alapképzést választó jelentkezők száma</w:t>
        <w:br/>
        <w:t>83-ról, 74%-ra csökkent; míg 13%-ról 24%-ra növekedett a FOSZ képzési szintet választók aránya az összes jelentkezői létszámhoz képest; a mesterképzés a karon 3-ról 2%-ra csökkent.</w:t>
      </w:r>
    </w:p>
    <w:p>
      <w:pPr>
        <w:pStyle w:val="Normal"/>
        <w:jc w:val="both"/>
        <w:rPr/>
      </w:pPr>
      <w:r>
        <w:rPr/>
        <w:drawing>
          <wp:inline distT="0" distB="0" distL="0" distR="0">
            <wp:extent cx="5867400" cy="274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jc w:val="center"/>
        <w:rPr/>
      </w:pPr>
      <w:r>
        <w:rPr/>
      </w:r>
    </w:p>
    <w:p>
      <w:pPr>
        <w:pStyle w:val="Normal"/>
        <w:jc w:val="both"/>
        <w:rPr/>
      </w:pPr>
      <w:r>
        <w:rPr/>
        <w:t xml:space="preserve">A Kar legkedveltebb képzése – jelentkezések számát illetően – a gyöngyösi képzési helyszínű mezőgazdasági mérnök alapszak nappali tagozata, ide 2018-ban összesen 74 fő jelentkezett, ebből első helyen jelölte meg 22 fő. 2017-ben is ennek levelező tagozatú társszakja volt a „siker” szak, ide felvételt nyert 10 hallgató a 62 jelentkezőből. </w:t>
      </w:r>
    </w:p>
    <w:p>
      <w:pPr>
        <w:pStyle w:val="Normal"/>
        <w:jc w:val="both"/>
        <w:rPr/>
      </w:pPr>
      <w:r>
        <w:rPr/>
        <w:t>A szak nappali és levelező tagozata iránti érdeklődés is stabilnak mondható nappalin 47, 56, 49, 74 fős jelentkezői létszám, levelezőn 2015-ben 49 fő, 2016-ban 68 fő, 2017-ben 62 fő, 2018-ban 54 fő jelentkezett ide, az ebből felvettek létszámának alakulása 2015-ben 9 fő, 2016-ban 12 fő, 2017-ben 10 fő, 2018-ban 18 fő.</w:t>
      </w:r>
    </w:p>
    <w:p>
      <w:pPr>
        <w:pStyle w:val="Normal"/>
        <w:jc w:val="both"/>
        <w:rPr/>
      </w:pPr>
      <w:r>
        <w:rPr/>
        <w:t>A legtöbb hallgatóval induló képzése a karnak a sárospataki szőlész-borász felsőoktatási szakképzés levelező tagozata, itt 14 felvett hallgató kezdhette meg tanulmányait (32 jelentkező hallgatóból 16 első helyen jelölte meg a képzést).</w:t>
      </w:r>
    </w:p>
    <w:p>
      <w:pPr>
        <w:pStyle w:val="Normal"/>
        <w:jc w:val="both"/>
        <w:rPr/>
      </w:pPr>
      <w:r>
        <w:rPr/>
        <w:t>A gyöngyösi központú karon 2017-ben már nem kerültek meghirdetésre az alábbi képzések:</w:t>
      </w:r>
    </w:p>
    <w:p>
      <w:pPr>
        <w:pStyle w:val="ListParagraph"/>
        <w:numPr>
          <w:ilvl w:val="0"/>
          <w:numId w:val="1"/>
        </w:numPr>
        <w:jc w:val="both"/>
        <w:rPr/>
      </w:pPr>
      <w:r>
        <w:rPr/>
        <w:t>környezetgazdálkodási agrármérnök (alap képzés, nappali tagozat) – kifutó szak;</w:t>
      </w:r>
    </w:p>
    <w:p>
      <w:pPr>
        <w:pStyle w:val="ListParagraph"/>
        <w:numPr>
          <w:ilvl w:val="0"/>
          <w:numId w:val="1"/>
        </w:numPr>
        <w:jc w:val="both"/>
        <w:rPr/>
      </w:pPr>
      <w:r>
        <w:rPr/>
        <w:t>mezőgazdasági mérnök, angol nyelven (alap képzés, nappali tagozat);</w:t>
      </w:r>
    </w:p>
    <w:p>
      <w:pPr>
        <w:pStyle w:val="ListParagraph"/>
        <w:numPr>
          <w:ilvl w:val="0"/>
          <w:numId w:val="1"/>
        </w:numPr>
        <w:jc w:val="both"/>
        <w:rPr/>
      </w:pPr>
      <w:r>
        <w:rPr/>
        <w:t>szőlész-borász mérnöki (gyöngyösi telephelyen), (alap képzés, nappali tagozat) – Eger vette át;</w:t>
      </w:r>
    </w:p>
    <w:p>
      <w:pPr>
        <w:pStyle w:val="ListParagraph"/>
        <w:numPr>
          <w:ilvl w:val="0"/>
          <w:numId w:val="1"/>
        </w:numPr>
        <w:jc w:val="both"/>
        <w:rPr/>
      </w:pPr>
      <w:r>
        <w:rPr/>
        <w:t>szőlész-borász mérnöki (sárospataki telephelyen), (alap képzés, nappali tagozat) – Eger vette át;</w:t>
      </w:r>
    </w:p>
    <w:p>
      <w:pPr>
        <w:pStyle w:val="ListParagraph"/>
        <w:numPr>
          <w:ilvl w:val="0"/>
          <w:numId w:val="1"/>
        </w:numPr>
        <w:jc w:val="both"/>
        <w:rPr/>
      </w:pPr>
      <w:r>
        <w:rPr/>
        <w:t>szőlész-borász mérnöki (gyöngyösi telephelyen), (alap képzés, levelező tagozat) – Eger vette át;</w:t>
      </w:r>
    </w:p>
    <w:p>
      <w:pPr>
        <w:pStyle w:val="ListParagraph"/>
        <w:numPr>
          <w:ilvl w:val="0"/>
          <w:numId w:val="1"/>
        </w:numPr>
        <w:jc w:val="both"/>
        <w:rPr/>
      </w:pPr>
      <w:r>
        <w:rPr/>
        <w:t>szőlész-borász mérnöki (egri telephelyen), (felsőoktatási szakképzés, levelező tagozat) – alapszakként indul nappali és levelező tagozaton.</w:t>
      </w:r>
    </w:p>
    <w:p>
      <w:pPr>
        <w:pStyle w:val="Normal"/>
        <w:ind w:left="360" w:hanging="0"/>
        <w:jc w:val="both"/>
        <w:rPr/>
      </w:pPr>
      <w:r>
        <w:rPr/>
        <w:t>2018-ban meghirdetésre került, de nem jelentkeztek hallgatók a szakra:</w:t>
      </w:r>
    </w:p>
    <w:p>
      <w:pPr>
        <w:pStyle w:val="ListParagraph"/>
        <w:numPr>
          <w:ilvl w:val="0"/>
          <w:numId w:val="1"/>
        </w:numPr>
        <w:jc w:val="both"/>
        <w:rPr/>
      </w:pPr>
      <w:r>
        <w:rPr/>
        <w:t>vidékfejlesztési agrármérnöki, gyöngyösi képzési helyszínen, mesterképzésen, nappali tagozaton (1 fő jelentkezett).</w:t>
      </w:r>
    </w:p>
    <w:p>
      <w:pPr>
        <w:pStyle w:val="Normal"/>
        <w:ind w:left="360" w:hanging="0"/>
        <w:jc w:val="both"/>
        <w:rPr/>
      </w:pPr>
      <w:r>
        <w:rPr/>
        <w:t>A 2017-ben meghirdetett szakok, melyekre jelentkeztek hallgatók, de a csekély létszám miatt nem indult el a képzés:</w:t>
      </w:r>
    </w:p>
    <w:p>
      <w:pPr>
        <w:pStyle w:val="ListParagraph"/>
        <w:numPr>
          <w:ilvl w:val="0"/>
          <w:numId w:val="1"/>
        </w:numPr>
        <w:jc w:val="both"/>
        <w:rPr/>
      </w:pPr>
      <w:r>
        <w:rPr/>
        <w:t>vadgazda mérnök alapképzés, nappali tagozat gyöngyösi telephelyen, mely képzést 2015-óta nem tudja indítani a kar, holott a jelentkezői létszám megfelelő volna (2015-ben, 2016-ban 33 fő, 2017-ben 27 fő jelentkezett ide;</w:t>
      </w:r>
    </w:p>
    <w:p>
      <w:pPr>
        <w:pStyle w:val="ListParagraph"/>
        <w:numPr>
          <w:ilvl w:val="0"/>
          <w:numId w:val="1"/>
        </w:numPr>
        <w:jc w:val="both"/>
        <w:rPr/>
      </w:pPr>
      <w:r>
        <w:rPr/>
        <w:t>vidékfejlesztési agrármérnök, alapképzés nappali tagozat, gyöngyösi telephelyen, a csökkenő jelentkezői létszám mellett (2015: 72 fő, 2016: 69 fő, 2017: 47 fő) 2017-ben nem indult el a szak;</w:t>
      </w:r>
    </w:p>
    <w:p>
      <w:pPr>
        <w:pStyle w:val="ListParagraph"/>
        <w:numPr>
          <w:ilvl w:val="0"/>
          <w:numId w:val="1"/>
        </w:numPr>
        <w:jc w:val="both"/>
        <w:rPr/>
      </w:pPr>
      <w:r>
        <w:rPr/>
        <w:t>szőlész-borász felsőoktatási szakképzés, nappali tagozat, gyöngyösi telephely, 2017-ben 20 jelentkező volt, de nem volt felvett hallgató;</w:t>
      </w:r>
    </w:p>
    <w:p>
      <w:pPr>
        <w:pStyle w:val="ListParagraph"/>
        <w:numPr>
          <w:ilvl w:val="0"/>
          <w:numId w:val="1"/>
        </w:numPr>
        <w:jc w:val="both"/>
        <w:rPr/>
      </w:pPr>
      <w:r>
        <w:rPr/>
        <w:t>szőlész-borász felsőoktatási szakképzés, nappali tagozat, sárospataki telephely, 2017-ben 12 jelentkező volt, de nem volt felvett hallgató;</w:t>
      </w:r>
    </w:p>
    <w:p>
      <w:pPr>
        <w:pStyle w:val="ListParagraph"/>
        <w:numPr>
          <w:ilvl w:val="0"/>
          <w:numId w:val="1"/>
        </w:numPr>
        <w:jc w:val="both"/>
        <w:rPr/>
      </w:pPr>
      <w:r>
        <w:rPr/>
        <w:t>vidékfejlesztési agrármérnök mesterszak, nappali képzési forma, gyöngyösi telephelyen, ahol 2017-ben mindössze 4 jelentkező volt.</w:t>
      </w:r>
    </w:p>
    <w:p>
      <w:pPr>
        <w:pStyle w:val="Normal"/>
        <w:ind w:left="360" w:hanging="0"/>
        <w:jc w:val="both"/>
        <w:rPr/>
      </w:pPr>
      <w:r>
        <w:rPr/>
      </w:r>
    </w:p>
    <w:p>
      <w:pPr>
        <w:pStyle w:val="Normal"/>
        <w:ind w:left="360" w:hanging="0"/>
        <w:jc w:val="both"/>
        <w:rPr/>
      </w:pPr>
      <w:r>
        <w:rPr/>
        <w:t>Általánosságban elmondható, hogy a képzésekre a legnagyobb érdeklődés 2016-ban volt, amikor összesen 806 leendő hallgató nyújtotta be jelentkezését, ebből elsőhelyes jelentkezés 209, míg felvett hallgató 140 volt. A 2015-ös és 2017 év összehasonlításában, a 2015-ben beadott jelentkezések száma 9%-kal magasabb volt (686 fő), mint 2017-ben (636 fő), de a felvettek száma 2017-ben 8%-kal volt több (összesen 109 fő). A felvett hallgatók 13 szakon tanulnak. 2018-ban 23%-kal több hallgató (134 fő) nyert felvételt a karra, mint a megelőző évben.</w:t>
      </w:r>
    </w:p>
    <w:p>
      <w:pPr>
        <w:pStyle w:val="Normal"/>
        <w:ind w:left="360" w:hanging="0"/>
        <w:jc w:val="both"/>
        <w:rPr/>
      </w:pPr>
      <w:r>
        <w:rPr/>
        <w:t>Az elmúlt 3 év adatai alapján csak a vidékfejlesztési agrármérnöki szak (alap képzés, nappali tagozat) iránt mutatkozik egyértelmű csökkenés: 2015-ben jelentkezett 72 fő, felvételt nyert 13, 2016-ban jelentkezett 69 fő, felvételt nyert 12, 2017-ben 47 fő jelentkezett, senkit sem vettek fel, 2018-ban 1 fő jelentkezett.</w:t>
      </w:r>
    </w:p>
    <w:p>
      <w:pPr>
        <w:pStyle w:val="Normal"/>
        <w:ind w:left="360" w:hanging="0"/>
        <w:jc w:val="both"/>
        <w:rPr/>
      </w:pPr>
      <w:r>
        <w:rPr/>
        <w:t>Ezen adatok alapján az egri szőlész-borász képzés (alapképzés, nappali tagozat) iránti érdeklődés növekszik (bár 2015-ben itt még nem indult a szak), 2016-ban 29 fő jelentkezett, de nem vettek fel senkit, míg 2017-ben 40 jelentkezőből 9 fővel indult a szak. Ez a tendencia betudható annak is, hogy a jelentkezők nemcsak képzést választanak, hanem képzési helyet, várost is, így az egri hallgatói létszám növekedése a gyöngyösi és sárospataki hallgatói létszám csökkenésével járt. Ugyanezen szak levelező képzése kapcsán a képzési helyek szerinti lista Gyöngyös (62 jelentkezett, 10 felvett), Eger (44 jelentkezett, 7 felvett), Sárospatak 35 jelentkezett, 7 felvett hallgatóval.</w:t>
      </w:r>
    </w:p>
    <w:p>
      <w:pPr>
        <w:pStyle w:val="Normal"/>
        <w:ind w:left="360" w:hanging="0"/>
        <w:jc w:val="both"/>
        <w:rPr/>
      </w:pPr>
      <w:r>
        <w:rPr/>
      </w:r>
    </w:p>
    <w:p>
      <w:pPr>
        <w:pStyle w:val="Heading3"/>
        <w:rPr>
          <w:b/>
          <w:b/>
        </w:rPr>
      </w:pPr>
      <w:bookmarkStart w:id="8" w:name="_Toc4068113"/>
      <w:r>
        <w:rPr>
          <w:b/>
        </w:rPr>
        <w:t>Képzési helyenkénti elemzés</w:t>
      </w:r>
      <w:bookmarkEnd w:id="8"/>
    </w:p>
    <w:p>
      <w:pPr>
        <w:pStyle w:val="Normal"/>
        <w:rPr/>
      </w:pPr>
      <w:r>
        <w:rPr/>
      </w:r>
    </w:p>
    <w:p>
      <w:pPr>
        <w:pStyle w:val="Normal"/>
        <w:ind w:left="360" w:hanging="0"/>
        <w:jc w:val="both"/>
        <w:rPr/>
      </w:pPr>
      <w:r>
        <w:rPr/>
        <w:t>Kampuszonként az alábbi felvett hallgatói létszámot találjuk 2017-ben: Gyöngyös 72 fő, Sárospatak 21 fő, Eger 16 fő. Összjelentkezői létszám tekintetében folyamatos a csökkenés a Karon, ezen belül a Gyöngyösi Campuson, 2015-18 között, majd 2/3-ára esett vissza – 686-ról 462 főre, ezzel párhuzamosan csökkent az első helyes jelentkezői létszám is erre a képzési helyszínre. Növekszik azonban az elmúlt évhez képest az egri képzések iránti érdeklődés, mely 20%-os növekedést mutat – vélhetően a többi oktatási hely rovására, mert Sárospatakon is csökkent 2017-18 között az összjelentkezők és az első helyes jelentkezők száma is.</w:t>
      </w:r>
    </w:p>
    <w:p>
      <w:pPr>
        <w:pStyle w:val="Normal"/>
        <w:ind w:left="360" w:hanging="0"/>
        <w:jc w:val="both"/>
        <w:rPr/>
      </w:pPr>
      <w:r>
        <w:rPr/>
        <w:drawing>
          <wp:inline distT="0" distB="0" distL="0" distR="0">
            <wp:extent cx="5848350" cy="318135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ind w:left="360" w:hanging="0"/>
        <w:jc w:val="center"/>
        <w:rPr/>
      </w:pPr>
      <w:r>
        <w:rPr/>
      </w:r>
    </w:p>
    <w:p>
      <w:pPr>
        <w:pStyle w:val="Normal"/>
        <w:ind w:left="360" w:hanging="0"/>
        <w:jc w:val="both"/>
        <w:rPr/>
      </w:pPr>
      <w:r>
        <w:rPr/>
        <w:t>A szakok viszonylag kis létszámú csoportokkal működnek, melyek közül a legtöbb hallgató a sárospataki szőlész-borász felsőoktatási szakképzésre, levelező tagozaton nyert felvételt 2017-ben, ez 14 fővel indult el. A legkisebb csoport a vidékfejlesztési agrármérnöki mesterszak levelező tagozatán található 4 fővel (és 4 első helyes jelentkezéssel).</w:t>
      </w:r>
    </w:p>
    <w:p>
      <w:pPr>
        <w:pStyle w:val="Normal"/>
        <w:ind w:left="360" w:hanging="0"/>
        <w:jc w:val="both"/>
        <w:rPr/>
      </w:pPr>
      <w:r>
        <w:rPr/>
        <w:t xml:space="preserve">A felvételi számokból megállapítható, hogy az agrárképzésekre felvett átlag hallgatói létszám </w:t>
        <w:br/>
        <w:t>5,19 fő, mely ha az esetleges lemorzsolódást is figyelembe vesszük, annyira alacsony, hogy hosszú távon nem biztos, hogy fenntartható.</w:t>
      </w:r>
    </w:p>
    <w:p>
      <w:pPr>
        <w:pStyle w:val="ListParagraph"/>
        <w:numPr>
          <w:ilvl w:val="0"/>
          <w:numId w:val="4"/>
        </w:numPr>
        <w:rPr/>
      </w:pPr>
      <w:r>
        <w:rPr/>
      </w:r>
      <w:r>
        <w:br w:type="page"/>
      </w:r>
    </w:p>
    <w:p>
      <w:pPr>
        <w:pStyle w:val="Heading2"/>
        <w:rPr>
          <w:b/>
          <w:b/>
        </w:rPr>
      </w:pPr>
      <w:r>
        <w:rPr>
          <w:b/>
        </w:rPr>
      </w:r>
    </w:p>
    <w:p>
      <w:pPr>
        <w:pStyle w:val="Heading2"/>
        <w:rPr>
          <w:b/>
          <w:b/>
          <w:sz w:val="32"/>
          <w:szCs w:val="32"/>
        </w:rPr>
      </w:pPr>
      <w:bookmarkStart w:id="9" w:name="_Toc4068114"/>
      <w:r>
        <w:rPr>
          <w:b/>
          <w:sz w:val="32"/>
          <w:szCs w:val="32"/>
        </w:rPr>
        <w:t>Bölcsészettudományi Kar</w:t>
      </w:r>
      <w:bookmarkEnd w:id="9"/>
    </w:p>
    <w:p>
      <w:pPr>
        <w:pStyle w:val="Normal"/>
        <w:jc w:val="both"/>
        <w:rPr>
          <w:b/>
          <w:b/>
        </w:rPr>
      </w:pPr>
      <w:r>
        <w:rPr>
          <w:b/>
        </w:rPr>
      </w:r>
    </w:p>
    <w:p>
      <w:pPr>
        <w:pStyle w:val="Normal"/>
        <w:jc w:val="both"/>
        <w:rPr/>
      </w:pPr>
      <w:r>
        <w:rPr/>
        <w:t>A képzések a bölcsészettudományi, művészetközvetítő és pedagógia képzési területeken zajlanak, az Egri Campuson. A karon meghirdetett szakok száma 38, ebből az osztatlan tanárszakok száma 13, a többi képzési formához 25 meghirdetett szak tartozik.</w:t>
      </w:r>
    </w:p>
    <w:p>
      <w:pPr>
        <w:pStyle w:val="Normal"/>
        <w:jc w:val="both"/>
        <w:rPr/>
      </w:pPr>
      <w:r>
        <w:rPr/>
      </w:r>
    </w:p>
    <w:p>
      <w:pPr>
        <w:pStyle w:val="Normal"/>
        <w:jc w:val="both"/>
        <w:rPr/>
      </w:pPr>
      <w:r>
        <w:rPr/>
        <w:drawing>
          <wp:inline distT="0" distB="0" distL="0" distR="0">
            <wp:extent cx="5810250" cy="274320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jc w:val="center"/>
        <w:rPr/>
      </w:pPr>
      <w:r>
        <w:rPr/>
      </w:r>
    </w:p>
    <w:p>
      <w:pPr>
        <w:pStyle w:val="Normal"/>
        <w:spacing w:before="0" w:after="0"/>
        <w:jc w:val="both"/>
        <w:rPr/>
      </w:pPr>
      <w:r>
        <w:rPr/>
      </w:r>
    </w:p>
    <w:p>
      <w:pPr>
        <w:pStyle w:val="Normal"/>
        <w:spacing w:before="0" w:after="0"/>
        <w:jc w:val="both"/>
        <w:rPr/>
      </w:pPr>
      <w:r>
        <w:rPr/>
        <w:t>Összes jelentkezői létszám 2015-18 között: 1420, 1616, 1866, 1989 fő</w:t>
      </w:r>
    </w:p>
    <w:p>
      <w:pPr>
        <w:pStyle w:val="Normal"/>
        <w:spacing w:before="0" w:after="0"/>
        <w:jc w:val="both"/>
        <w:rPr/>
      </w:pPr>
      <w:r>
        <w:rPr/>
        <w:t>Összes felvett hallgatói létszám 2015-18 között: 309, 344, 396 fő</w:t>
      </w:r>
    </w:p>
    <w:p>
      <w:pPr>
        <w:pStyle w:val="Normal"/>
        <w:spacing w:before="0" w:after="0"/>
        <w:jc w:val="both"/>
        <w:rPr/>
      </w:pPr>
      <w:r>
        <w:rPr/>
        <w:t>Összes első helyes jelentkező száma 2015-18 között: 381, 460, 565, 614 fő</w:t>
      </w:r>
    </w:p>
    <w:p>
      <w:pPr>
        <w:pStyle w:val="Normal"/>
        <w:spacing w:before="0" w:after="0"/>
        <w:jc w:val="both"/>
        <w:rPr/>
      </w:pPr>
      <w:r>
        <w:rPr/>
        <w:t>Alapképzésre jelentkezettek száma (2018-ban): összesen 912 fő, ebből nappali 700, levelező 212 fő.</w:t>
      </w:r>
    </w:p>
    <w:p>
      <w:pPr>
        <w:pStyle w:val="Normal"/>
        <w:spacing w:before="0" w:after="0"/>
        <w:jc w:val="both"/>
        <w:rPr/>
      </w:pPr>
      <w:r>
        <w:rPr/>
        <w:t>Mesterképzésre jelentkezettek száma (2018-ban): összesen 132 fő, ebből nappali 66, levelező 66 fő.</w:t>
      </w:r>
    </w:p>
    <w:p>
      <w:pPr>
        <w:pStyle w:val="Normal"/>
        <w:spacing w:before="0" w:after="0"/>
        <w:jc w:val="both"/>
        <w:rPr/>
      </w:pPr>
      <w:r>
        <w:rPr/>
        <w:t>Osztatlan tanárképzésre jelentkezettek száma (2018-ban): összesen 850 fő, ebből nappali 506, levelező 344 fő.</w:t>
      </w:r>
    </w:p>
    <w:p>
      <w:pPr>
        <w:pStyle w:val="Normal"/>
        <w:spacing w:before="0" w:after="0"/>
        <w:jc w:val="both"/>
        <w:rPr/>
      </w:pPr>
      <w:r>
        <w:rPr/>
        <w:t>FOSZ képzési szintre jelentkezettek száma (2018-ban): 95 fő, ebből nappali 67 fő, levelező 28 fő.</w:t>
      </w:r>
    </w:p>
    <w:p>
      <w:pPr>
        <w:pStyle w:val="Normal"/>
        <w:spacing w:before="0" w:after="0"/>
        <w:jc w:val="both"/>
        <w:rPr/>
      </w:pPr>
      <w:r>
        <w:rPr/>
        <w:t>Nappali tagozat összesen (2018): 1339 fő, mely az összejelentkezői létszám 67%-a.</w:t>
      </w:r>
    </w:p>
    <w:p>
      <w:pPr>
        <w:pStyle w:val="Normal"/>
        <w:spacing w:before="0" w:after="0"/>
        <w:jc w:val="both"/>
        <w:rPr/>
      </w:pPr>
      <w:r>
        <w:rPr/>
        <w:t>Levelező tagozat összesen (2018): 650 fő, az összjelentkezői létszám 33%-a.</w:t>
      </w:r>
    </w:p>
    <w:p>
      <w:pPr>
        <w:pStyle w:val="Normal"/>
        <w:spacing w:before="0" w:after="0"/>
        <w:jc w:val="both"/>
        <w:rPr/>
      </w:pPr>
      <w:r>
        <w:rPr/>
        <w:t xml:space="preserve">Alapképzésre </w:t>
      </w:r>
      <w:r>
        <w:rPr>
          <w:i/>
        </w:rPr>
        <w:t xml:space="preserve">felvettek </w:t>
      </w:r>
      <w:r>
        <w:rPr/>
        <w:t>száma (2018-ban): összesen 210 fő, ebből nappali 153, levelező 57 fő.</w:t>
      </w:r>
    </w:p>
    <w:p>
      <w:pPr>
        <w:pStyle w:val="Normal"/>
        <w:spacing w:before="0" w:after="0"/>
        <w:jc w:val="both"/>
        <w:rPr/>
      </w:pPr>
      <w:r>
        <w:rPr/>
        <w:t xml:space="preserve">Mesterképzésre </w:t>
      </w:r>
      <w:r>
        <w:rPr>
          <w:i/>
        </w:rPr>
        <w:t>felvettek</w:t>
      </w:r>
      <w:r>
        <w:rPr/>
        <w:t xml:space="preserve"> száma (2018-ban): összesen 104 fő, ebből nappali 18, levelező 86 fő.</w:t>
      </w:r>
    </w:p>
    <w:p>
      <w:pPr>
        <w:pStyle w:val="Normal"/>
        <w:spacing w:before="0" w:after="0"/>
        <w:jc w:val="both"/>
        <w:rPr/>
      </w:pPr>
      <w:r>
        <w:rPr/>
        <w:t xml:space="preserve">Osztatlan képzésre </w:t>
      </w:r>
      <w:r>
        <w:rPr>
          <w:i/>
        </w:rPr>
        <w:t>felvettek</w:t>
      </w:r>
      <w:r>
        <w:rPr/>
        <w:t xml:space="preserve"> száma (2018-ban): összesen 101 fő, ebből nappali 59, levelező 42 fő.</w:t>
      </w:r>
    </w:p>
    <w:p>
      <w:pPr>
        <w:pStyle w:val="Normal"/>
        <w:spacing w:before="0" w:after="0"/>
        <w:jc w:val="both"/>
        <w:rPr/>
      </w:pPr>
      <w:r>
        <w:rPr/>
        <w:t xml:space="preserve">FOSZ képzésre </w:t>
      </w:r>
      <w:r>
        <w:rPr>
          <w:i/>
        </w:rPr>
        <w:t xml:space="preserve">felvettek </w:t>
      </w:r>
      <w:r>
        <w:rPr/>
        <w:t>száma (2018-ban): összesen 40 fő, ebből nappali 29, levelező 11 fő.</w:t>
      </w:r>
    </w:p>
    <w:p>
      <w:pPr>
        <w:pStyle w:val="Normal"/>
        <w:spacing w:before="0" w:after="0"/>
        <w:jc w:val="both"/>
        <w:rPr/>
      </w:pPr>
      <w:r>
        <w:rPr/>
      </w:r>
    </w:p>
    <w:p>
      <w:pPr>
        <w:pStyle w:val="Normal"/>
        <w:spacing w:before="0" w:after="0"/>
        <w:jc w:val="both"/>
        <w:rPr/>
      </w:pPr>
      <w:r>
        <w:rPr/>
      </w:r>
    </w:p>
    <w:p>
      <w:pPr>
        <w:pStyle w:val="Normal"/>
        <w:jc w:val="both"/>
        <w:rPr/>
      </w:pPr>
      <w:r>
        <w:rPr/>
        <w:t>Az alapképzési szintet választók aránya a 2015-ös 62%-ról, 2018-ra 46%-ra csökkent, míg az osztatlan képzést választók aránya ugyanebben az időszakban 32%-ról 43-ra növekedett; a FOSZ képzést 2%-kal többen (összesen 7%) választották, ezenközben a mesterképzésé maradt 6%.</w:t>
      </w:r>
    </w:p>
    <w:p>
      <w:pPr>
        <w:pStyle w:val="Normal"/>
        <w:jc w:val="both"/>
        <w:rPr/>
      </w:pPr>
      <w:r>
        <w:rPr/>
      </w:r>
    </w:p>
    <w:p>
      <w:pPr>
        <w:pStyle w:val="Normal"/>
        <w:jc w:val="both"/>
        <w:rPr/>
      </w:pPr>
      <w:r>
        <w:rPr/>
      </w:r>
    </w:p>
    <w:p>
      <w:pPr>
        <w:pStyle w:val="Normal"/>
        <w:jc w:val="both"/>
        <w:rPr/>
      </w:pPr>
      <w:r>
        <w:rPr/>
        <w:drawing>
          <wp:inline distT="0" distB="0" distL="0" distR="0">
            <wp:extent cx="5800725" cy="356235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jc w:val="both"/>
        <w:rPr/>
      </w:pPr>
      <w:r>
        <w:rPr/>
      </w:r>
    </w:p>
    <w:p>
      <w:pPr>
        <w:pStyle w:val="Normal"/>
        <w:jc w:val="both"/>
        <w:rPr/>
      </w:pPr>
      <w:r>
        <w:rPr/>
        <w:t>A BTK szakjai közül a vizsgált években kiegyensúlyozottan 70-30%-os arányt mutat a nappali és levelező tagozat választása, a nappali javára.</w:t>
      </w:r>
    </w:p>
    <w:p>
      <w:pPr>
        <w:pStyle w:val="Normal"/>
        <w:jc w:val="both"/>
        <w:rPr/>
      </w:pPr>
      <w:r>
        <w:rPr/>
        <w:t>A Kar legkedveltebb képzése 2018-ban is a tervezőgrafika alapképzés nappali tagozata, ahová 212 fő adta be jelentkezését</w:t>
      </w:r>
      <w:r>
        <w:rPr>
          <w:i/>
        </w:rPr>
        <w:t>, első helyen 81</w:t>
      </w:r>
      <w:r>
        <w:rPr/>
        <w:t xml:space="preserve"> fő jelölte meg ezt a szakot. Erre a szakra 2017-ben a jelentkezők száma 239 fő volt, 90 első helyes jelentkezéssel (mely kimagasló volt nemcsak a kar, de az intézményi elsőhelyes jelentkezéseket illetően is), a felvettek száma 30 fő volt.</w:t>
      </w:r>
    </w:p>
    <w:p>
      <w:pPr>
        <w:pStyle w:val="Normal"/>
        <w:jc w:val="both"/>
        <w:rPr/>
      </w:pPr>
      <w:r>
        <w:rPr/>
        <w:t xml:space="preserve">A legtöbb hallgatóval induló képzés 2017-ben a 40 fős képalkotás alap nappalis művészetközvetítő képzési területen futó szak, majd a történelemtanár és állampolgári ismeretek tanára (39 fő) a pedagógia képzési terület az osztatlan nappalis szakja, harmadik az angol nyelv és kultúra tanára 38 fős tanulócsoportja. </w:t>
      </w:r>
    </w:p>
    <w:p>
      <w:pPr>
        <w:pStyle w:val="Normal"/>
        <w:jc w:val="both"/>
        <w:rPr/>
      </w:pPr>
      <w:r>
        <w:rPr/>
        <w:t>A legkevesebb hallgató a nappali történelem mester szakon volt, ez egy 3 fős csoport, a második a 4 fős ének-zene tanár, osztatlan nappalis, a harmadik az 5 fős germanisztika alapszak levelező képzése és a szintén 5 fős német nyelv és kultúra tanára osztatlan levelező szak.</w:t>
      </w:r>
    </w:p>
    <w:p>
      <w:pPr>
        <w:pStyle w:val="Normal"/>
        <w:jc w:val="both"/>
        <w:rPr/>
      </w:pPr>
      <w:r>
        <w:rPr/>
        <w:t>Emelkedést mutatnak a jelentkezési adatok az alábbi szakokon (2015-2016-2017-2018 években):</w:t>
      </w:r>
    </w:p>
    <w:p>
      <w:pPr>
        <w:pStyle w:val="ListParagraph"/>
        <w:numPr>
          <w:ilvl w:val="0"/>
          <w:numId w:val="1"/>
        </w:numPr>
        <w:jc w:val="both"/>
        <w:rPr/>
      </w:pPr>
      <w:r>
        <w:rPr/>
        <w:t>képalkotás (mozgóképkultúra- és média), alap, nappali (113, 113, 60, 156 fő)</w:t>
      </w:r>
    </w:p>
    <w:p>
      <w:pPr>
        <w:pStyle w:val="ListParagraph"/>
        <w:numPr>
          <w:ilvl w:val="0"/>
          <w:numId w:val="1"/>
        </w:numPr>
        <w:jc w:val="both"/>
        <w:rPr/>
      </w:pPr>
      <w:r>
        <w:rPr/>
        <w:t>magyartanár, osztatlan nappali képzés (61, 75, 92, 102 fő)</w:t>
      </w:r>
    </w:p>
    <w:p>
      <w:pPr>
        <w:pStyle w:val="ListParagraph"/>
        <w:numPr>
          <w:ilvl w:val="0"/>
          <w:numId w:val="1"/>
        </w:numPr>
        <w:jc w:val="both"/>
        <w:rPr/>
      </w:pPr>
      <w:r>
        <w:rPr/>
        <w:t>angol nyelv és kultúra tanára, osztatlan levelező képzés (42, 47, 75, 85 fő)</w:t>
      </w:r>
    </w:p>
    <w:p>
      <w:pPr>
        <w:pStyle w:val="ListParagraph"/>
        <w:numPr>
          <w:ilvl w:val="0"/>
          <w:numId w:val="1"/>
        </w:numPr>
        <w:jc w:val="both"/>
        <w:rPr/>
      </w:pPr>
      <w:r>
        <w:rPr/>
        <w:t>televíziós műsorkészítő, FOSZ, nappali (41, 55, 57, 67 fő)</w:t>
      </w:r>
    </w:p>
    <w:p>
      <w:pPr>
        <w:pStyle w:val="ListParagraph"/>
        <w:numPr>
          <w:ilvl w:val="0"/>
          <w:numId w:val="1"/>
        </w:numPr>
        <w:jc w:val="both"/>
        <w:rPr/>
      </w:pPr>
      <w:r>
        <w:rPr/>
        <w:t>képalkotás (mozgóképkultúra- és média), alap, levelező (37, 33, 18, 50 fő)</w:t>
      </w:r>
    </w:p>
    <w:p>
      <w:pPr>
        <w:pStyle w:val="ListParagraph"/>
        <w:numPr>
          <w:ilvl w:val="0"/>
          <w:numId w:val="1"/>
        </w:numPr>
        <w:jc w:val="both"/>
        <w:rPr/>
      </w:pPr>
      <w:r>
        <w:rPr/>
        <w:t>tervező grafika mesterszak, nappali tagozat (20, 31, 37, 43 fő)</w:t>
      </w:r>
    </w:p>
    <w:p>
      <w:pPr>
        <w:pStyle w:val="ListParagraph"/>
        <w:numPr>
          <w:ilvl w:val="0"/>
          <w:numId w:val="1"/>
        </w:numPr>
        <w:jc w:val="both"/>
        <w:rPr/>
      </w:pPr>
      <w:r>
        <w:rPr/>
        <w:t>média-, mozgókép- és kommunikációtanár, osztatlan, levelező (12, 19, 30, 35 fő)</w:t>
      </w:r>
    </w:p>
    <w:p>
      <w:pPr>
        <w:pStyle w:val="ListParagraph"/>
        <w:numPr>
          <w:ilvl w:val="0"/>
          <w:numId w:val="1"/>
        </w:numPr>
        <w:jc w:val="both"/>
        <w:rPr/>
      </w:pPr>
      <w:r>
        <w:rPr/>
        <w:t>ének-zene tanár, osztatlan, levelező (5,4 15, 25 fő)</w:t>
      </w:r>
    </w:p>
    <w:p>
      <w:pPr>
        <w:pStyle w:val="Normal"/>
        <w:jc w:val="both"/>
        <w:rPr/>
      </w:pPr>
      <w:r>
        <w:rPr/>
        <w:t>Itt a tanárszakok iránti érdeklődés túlsúlya figyelhető meg.</w:t>
      </w:r>
    </w:p>
    <w:p>
      <w:pPr>
        <w:pStyle w:val="Normal"/>
        <w:jc w:val="both"/>
        <w:rPr/>
      </w:pPr>
      <w:r>
        <w:rPr/>
        <w:t>A 2017-ben meghirdetett szakok, melyekre jelentkeztek hallgatók, de a csekély létszám miatt nem indult el a képzés:</w:t>
      </w:r>
    </w:p>
    <w:p>
      <w:pPr>
        <w:pStyle w:val="ListParagraph"/>
        <w:numPr>
          <w:ilvl w:val="0"/>
          <w:numId w:val="1"/>
        </w:numPr>
        <w:jc w:val="both"/>
        <w:rPr/>
      </w:pPr>
      <w:r>
        <w:rPr/>
        <w:t>fordító tolmács, mesterszak, nappali tagozat</w:t>
      </w:r>
    </w:p>
    <w:p>
      <w:pPr>
        <w:pStyle w:val="ListParagraph"/>
        <w:numPr>
          <w:ilvl w:val="0"/>
          <w:numId w:val="1"/>
        </w:numPr>
        <w:jc w:val="both"/>
        <w:rPr/>
      </w:pPr>
      <w:r>
        <w:rPr/>
        <w:t>kulturális örökség tanulmányok, mester szak, nappali tagozat</w:t>
      </w:r>
    </w:p>
    <w:p>
      <w:pPr>
        <w:pStyle w:val="ListParagraph"/>
        <w:numPr>
          <w:ilvl w:val="0"/>
          <w:numId w:val="1"/>
        </w:numPr>
        <w:jc w:val="both"/>
        <w:rPr/>
      </w:pPr>
      <w:r>
        <w:rPr/>
        <w:t>amerikanisztika, mester szak, nappali tagozat, nem indult 2015-ben, 2016-ban sem</w:t>
      </w:r>
    </w:p>
    <w:p>
      <w:pPr>
        <w:pStyle w:val="ListParagraph"/>
        <w:numPr>
          <w:ilvl w:val="0"/>
          <w:numId w:val="1"/>
        </w:numPr>
        <w:jc w:val="both"/>
        <w:rPr/>
      </w:pPr>
      <w:r>
        <w:rPr/>
        <w:t>szabad bölcsészet, alapszak, levelező tagozat, nem indult 2015-ben, 2016-ban sem</w:t>
      </w:r>
    </w:p>
    <w:p>
      <w:pPr>
        <w:pStyle w:val="ListParagraph"/>
        <w:numPr>
          <w:ilvl w:val="0"/>
          <w:numId w:val="1"/>
        </w:numPr>
        <w:jc w:val="both"/>
        <w:rPr/>
      </w:pPr>
      <w:r>
        <w:rPr/>
        <w:t>magyar, alapszak, nappali tagozat, nem indult 2015-ben, 2016-ban sem</w:t>
      </w:r>
    </w:p>
    <w:p>
      <w:pPr>
        <w:pStyle w:val="ListParagraph"/>
        <w:numPr>
          <w:ilvl w:val="0"/>
          <w:numId w:val="1"/>
        </w:numPr>
        <w:jc w:val="both"/>
        <w:rPr/>
      </w:pPr>
      <w:r>
        <w:rPr/>
        <w:t>zenekultúra, alapszak, nappali tagozat, nem indult 2016-ban sem</w:t>
      </w:r>
    </w:p>
    <w:p>
      <w:pPr>
        <w:pStyle w:val="ListParagraph"/>
        <w:numPr>
          <w:ilvl w:val="0"/>
          <w:numId w:val="1"/>
        </w:numPr>
        <w:jc w:val="both"/>
        <w:rPr/>
      </w:pPr>
      <w:r>
        <w:rPr/>
        <w:t>fordító és tolmács, mester szak, levelező tagozat</w:t>
      </w:r>
    </w:p>
    <w:p>
      <w:pPr>
        <w:pStyle w:val="ListParagraph"/>
        <w:numPr>
          <w:ilvl w:val="0"/>
          <w:numId w:val="1"/>
        </w:numPr>
        <w:jc w:val="both"/>
        <w:rPr/>
      </w:pPr>
      <w:r>
        <w:rPr/>
        <w:t>germanisztika (német), alapszak, nappali tagozat, nem indult 2015-ben, 2016-ban sem</w:t>
      </w:r>
    </w:p>
    <w:p>
      <w:pPr>
        <w:pStyle w:val="ListParagraph"/>
        <w:numPr>
          <w:ilvl w:val="0"/>
          <w:numId w:val="1"/>
        </w:numPr>
        <w:jc w:val="both"/>
        <w:rPr/>
      </w:pPr>
      <w:r>
        <w:rPr/>
        <w:t>szabad bölcsészet, alapszak, nappali tagozat, nem indult 2015-ben, 2016-ban sem</w:t>
      </w:r>
    </w:p>
    <w:p>
      <w:pPr>
        <w:pStyle w:val="ListParagraph"/>
        <w:numPr>
          <w:ilvl w:val="0"/>
          <w:numId w:val="1"/>
        </w:numPr>
        <w:jc w:val="both"/>
        <w:rPr/>
      </w:pPr>
      <w:r>
        <w:rPr/>
        <w:t>amerikanisztika, mester szak, levelező tagozat, nem indult 2015-ben, 2016-ban sem</w:t>
      </w:r>
    </w:p>
    <w:p>
      <w:pPr>
        <w:pStyle w:val="ListParagraph"/>
        <w:numPr>
          <w:ilvl w:val="0"/>
          <w:numId w:val="1"/>
        </w:numPr>
        <w:jc w:val="both"/>
        <w:rPr/>
      </w:pPr>
      <w:r>
        <w:rPr/>
        <w:t>zenekultúra, alapszak, levelező tagozat</w:t>
      </w:r>
    </w:p>
    <w:p>
      <w:pPr>
        <w:pStyle w:val="ListParagraph"/>
        <w:numPr>
          <w:ilvl w:val="0"/>
          <w:numId w:val="1"/>
        </w:numPr>
        <w:jc w:val="both"/>
        <w:rPr/>
      </w:pPr>
      <w:r>
        <w:rPr/>
        <w:t>képalkotás (mozgóképkultúra- és média), alapszak, levelező tagozat</w:t>
      </w:r>
    </w:p>
    <w:p>
      <w:pPr>
        <w:pStyle w:val="ListParagraph"/>
        <w:numPr>
          <w:ilvl w:val="0"/>
          <w:numId w:val="1"/>
        </w:numPr>
        <w:jc w:val="both"/>
        <w:rPr/>
      </w:pPr>
      <w:r>
        <w:rPr/>
        <w:t>történelem, alapszak, nappali tagozat</w:t>
      </w:r>
    </w:p>
    <w:p>
      <w:pPr>
        <w:pStyle w:val="Normal"/>
        <w:jc w:val="both"/>
        <w:rPr/>
      </w:pPr>
      <w:r>
        <w:rPr/>
        <w:t>A nem induló képzések kapcsán megállapítható a csökkenő tendencia a jelentkezői létszámban, mely leginkább a bölcsészettudományi képzési terület szakjait érinti.</w:t>
      </w:r>
    </w:p>
    <w:p>
      <w:pPr>
        <w:pStyle w:val="Normal"/>
        <w:jc w:val="both"/>
        <w:rPr/>
      </w:pPr>
      <w:r>
        <w:rPr/>
        <w:t>Az induló szakok kapcsán az alábbiak mutatnak folyamatosan csökkenő jelentkezői létszámot</w:t>
        <w:br/>
        <w:t xml:space="preserve"> (2015-2018 években):</w:t>
      </w:r>
    </w:p>
    <w:p>
      <w:pPr>
        <w:pStyle w:val="ListParagraph"/>
        <w:numPr>
          <w:ilvl w:val="0"/>
          <w:numId w:val="1"/>
        </w:numPr>
        <w:jc w:val="both"/>
        <w:rPr/>
      </w:pPr>
      <w:r>
        <w:rPr/>
        <w:t>a zenekultúra alap nappali (35-9 főre csökkent jelentkezői létszám) és levelező tagozaton (21-ről 5 főre csökkent.</w:t>
      </w:r>
    </w:p>
    <w:p>
      <w:pPr>
        <w:pStyle w:val="Normal"/>
        <w:jc w:val="both"/>
        <w:rPr/>
      </w:pPr>
      <w:r>
        <w:rPr/>
        <w:t>A kar szakjaira jelentkezők száma folyamatos emelkedést mutat 2015 és 2017 között: 1420 fő (2015), 1616 fő (2016), 1866 (2017). Ahogyan az első helyes jelentkezések száma is: 381 (2015), 460 (2016), 565 (2017). Ezzel arányosan a felvettek száma is 7%-os emelkedést mutat: 309 (2015), 344 (2016), 396 (2017). Ezt kiegészítve 2018-ban az összjelentkezők száma 2%-kal csökkent, de az első helyes jelentkezések pont ennyivel nőttek.</w:t>
      </w:r>
    </w:p>
    <w:p>
      <w:pPr>
        <w:pStyle w:val="Normal"/>
        <w:rPr/>
      </w:pPr>
      <w:r>
        <w:rPr/>
      </w:r>
    </w:p>
    <w:p>
      <w:pPr>
        <w:pStyle w:val="Heading3"/>
        <w:rPr>
          <w:b/>
          <w:b/>
        </w:rPr>
      </w:pPr>
      <w:bookmarkStart w:id="10" w:name="_Toc4068115"/>
      <w:r>
        <w:rPr>
          <w:b/>
        </w:rPr>
        <w:t>Képzési területenkénti elemzés</w:t>
      </w:r>
      <w:bookmarkEnd w:id="10"/>
    </w:p>
    <w:p>
      <w:pPr>
        <w:pStyle w:val="Normal"/>
        <w:ind w:firstLine="708"/>
        <w:rPr>
          <w:b/>
          <w:b/>
        </w:rPr>
      </w:pPr>
      <w:r>
        <w:rPr>
          <w:b/>
        </w:rPr>
      </w:r>
    </w:p>
    <w:p>
      <w:pPr>
        <w:pStyle w:val="Normal"/>
        <w:jc w:val="both"/>
        <w:rPr/>
      </w:pPr>
      <w:r>
        <w:rPr/>
        <w:t xml:space="preserve">A </w:t>
      </w:r>
      <w:r>
        <w:rPr>
          <w:b/>
        </w:rPr>
        <w:t xml:space="preserve">Bölcsészettudományi </w:t>
      </w:r>
      <w:r>
        <w:rPr/>
        <w:t>részterület „siker szakja” az anglisztika alapszak 2018-ban is: nappali tagozaton növekedve (53-61 fő jelentkezett 2015-ben, 2018-ban), levelező tagozaton (158-131 fő) enyhe csökkenéssel a jelentkezői létszám vonatkozásában, a felvettek száma 2017-ben 19 fő volt levelezőn, 29 nappali tagozaton. A legkisebb hallgatói létszám a történelem mesterszak nappali tagozatán van, ez a csoport 3 fővel indult el. A képzési terület szakjai átlagosan 10,25 fővel futnak, a két anglisztika csoporton kívül a működő csoportok kis létszámúaknak mondhatók, 5,6 fős hallgatói létszám átlaggal.</w:t>
      </w:r>
    </w:p>
    <w:p>
      <w:pPr>
        <w:pStyle w:val="Normal"/>
        <w:jc w:val="both"/>
        <w:rPr/>
      </w:pPr>
      <w:r>
        <w:rPr/>
        <w:t>A legkevesebb jelentkezés 2018-ban az amerikanisztika mester, nappali tagozatra volt, ide mindössze 2 fő adta be jelentkezését.</w:t>
      </w:r>
    </w:p>
    <w:p>
      <w:pPr>
        <w:pStyle w:val="Normal"/>
        <w:jc w:val="both"/>
        <w:rPr/>
      </w:pPr>
      <w:r>
        <w:rPr/>
      </w:r>
    </w:p>
    <w:p>
      <w:pPr>
        <w:pStyle w:val="Normal"/>
        <w:jc w:val="both"/>
        <w:rPr/>
      </w:pPr>
      <w:r>
        <w:rPr/>
        <w:t xml:space="preserve">A </w:t>
      </w:r>
      <w:r>
        <w:rPr>
          <w:b/>
        </w:rPr>
        <w:t>Művészetközvetítő</w:t>
      </w:r>
      <w:r>
        <w:rPr/>
        <w:t xml:space="preserve"> képzési területen, a már korábban is említett tervezőgrafika alapszak nappali tagozata a legkedveltebb a 2017-es éveben 239, 2018-ban 212 jelentkezővel és 30 felvett hallgatóval. Emellett a képalkotás két nappalis alapszakja, a képalkotás (115 jelentkező 2018-ban, 30 felvett hallgató 2017-ben) és a mozgóképkultúra- és média (156 jelentkező 2018-ban, 40 felvett hallgató 2017-ben). Emelkedő érdeklődés látható a tervezőgrafikus mesterszak nappali tagozata iránt mind a jelentkezések (20, 31, 37, 43 fő), mind a felvettek (4, 7, 10 fő) számát tekintve. Viszont csökkenés látható a zenekultúra alapszak nappali és levelező tagozatán is, ahol a csökkenő jelentkezések miatt már 2016-tól nem indult képzés.</w:t>
      </w:r>
    </w:p>
    <w:p>
      <w:pPr>
        <w:pStyle w:val="Normal"/>
        <w:jc w:val="both"/>
        <w:rPr/>
      </w:pPr>
      <w:r>
        <w:rPr/>
        <w:t>Ez a képzési terület a kar második legmagasabb jelentkezői létszámát adja, 2018-ban 590 fővel.</w:t>
      </w:r>
    </w:p>
    <w:p>
      <w:pPr>
        <w:pStyle w:val="Normal"/>
        <w:jc w:val="both"/>
        <w:rPr/>
      </w:pPr>
      <w:r>
        <w:rPr/>
      </w:r>
    </w:p>
    <w:p>
      <w:pPr>
        <w:pStyle w:val="Normal"/>
        <w:jc w:val="both"/>
        <w:rPr/>
      </w:pPr>
      <w:r>
        <w:rPr/>
        <w:t xml:space="preserve">A </w:t>
      </w:r>
      <w:r>
        <w:rPr>
          <w:b/>
        </w:rPr>
        <w:t>Pedagógiai</w:t>
      </w:r>
      <w:r>
        <w:rPr/>
        <w:t xml:space="preserve"> képzési terület az osztatlan tanárszakokat tartalmazza, ahol a legtöbb jelentkező 2018-ban is a történelemtanár és állampolgári ismeretek tanára nappali tagozatán található,</w:t>
        <w:br/>
        <w:t xml:space="preserve">149 fő jelentkezett és felvett 39 főt vettek fel 2017-ben, mely az első helyes jelentkezésekben is vezet 35 fővel. </w:t>
      </w:r>
    </w:p>
    <w:p>
      <w:pPr>
        <w:pStyle w:val="Normal"/>
        <w:jc w:val="both"/>
        <w:rPr/>
      </w:pPr>
      <w:r>
        <w:rPr/>
        <w:t>A képzési területenkénti jelentkezők számát illetően ez a terület a legkedveltebb a karon, 850 fős jelentkezői létszámmal, kitartó növekedés mellett.</w:t>
      </w:r>
    </w:p>
    <w:p>
      <w:pPr>
        <w:pStyle w:val="Normal"/>
        <w:jc w:val="both"/>
        <w:rPr/>
      </w:pPr>
      <w:r>
        <w:rPr/>
        <w:t>Minden szakon emelkedés figyelhető meg 2017-ben, a 2015-ös adatokhoz képest a jelentkezői és felvettek létszámát egyaránt figyelembe véve. Kiemelkedő a felvettek létszámának növekedése 2015-17 között német nyelv és kultúra tanára osztatlan nappali 1 főről 10-re; erkölcstan- és etikatanár osztatlan, levelező 2-ről 11 főre; rajz- és vizuáliskultúra-tanár osztatlan, nappali 3 főről 14-re emelkedett a hallgatói létszám. Az átlag hallgatói létszám ezen képzési terület hallgatói csoportjaiban 14,4 fő.</w:t>
      </w:r>
    </w:p>
    <w:p>
      <w:pPr>
        <w:pStyle w:val="Normal"/>
        <w:jc w:val="both"/>
        <w:rPr/>
      </w:pPr>
      <w:r>
        <w:rPr/>
        <w:t>A képzési területenkénti adatokat az alábbi táblázat és grafikon mutatja be:</w:t>
      </w:r>
    </w:p>
    <w:p>
      <w:pPr>
        <w:pStyle w:val="Normal"/>
        <w:rPr/>
      </w:pPr>
      <w:r>
        <w:rPr/>
      </w:r>
    </w:p>
    <w:p>
      <w:pPr>
        <w:pStyle w:val="Normal"/>
        <w:tabs>
          <w:tab w:val="left" w:pos="2835" w:leader="none"/>
        </w:tabs>
        <w:rPr/>
      </w:pPr>
      <w:r>
        <w:rPr/>
        <w:drawing>
          <wp:inline distT="0" distB="0" distL="0" distR="0">
            <wp:extent cx="6286500" cy="3324225"/>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tab/>
      </w:r>
      <w:r>
        <w:br w:type="page"/>
      </w:r>
    </w:p>
    <w:p>
      <w:pPr>
        <w:pStyle w:val="Heading2"/>
        <w:rPr>
          <w:b/>
          <w:b/>
          <w:sz w:val="32"/>
          <w:szCs w:val="32"/>
        </w:rPr>
      </w:pPr>
      <w:bookmarkStart w:id="11" w:name="_Toc4068116"/>
      <w:r>
        <w:rPr>
          <w:b/>
          <w:sz w:val="32"/>
          <w:szCs w:val="32"/>
        </w:rPr>
        <w:t>Gazdaság- és Társadalomtudományi Kar</w:t>
      </w:r>
      <w:bookmarkEnd w:id="11"/>
    </w:p>
    <w:p>
      <w:pPr>
        <w:pStyle w:val="Normal"/>
        <w:rPr/>
      </w:pPr>
      <w:r>
        <w:rPr/>
      </w:r>
    </w:p>
    <w:p>
      <w:pPr>
        <w:pStyle w:val="Normal"/>
        <w:jc w:val="both"/>
        <w:rPr/>
      </w:pPr>
      <w:r>
        <w:rPr/>
        <w:t>A Kar 3 képzési területen - gazdálkodás-, informatika-, társadalomtudomány -, mind a 4 kampuszon tanít a felsőoktatási szakképzéstől a mesterképzésig terjedő képzési struktúrában, ahol 2015-17 között 72 meghirdetett szak állt a leendő hallgatók rendelkezésére, ezzel az egyik legösszetettebb feladatokat ellátó képzési egység. Az osztatlan tanárszakok száma 2, a többi képzési formához 70 meghirdetett szak tartozik.</w:t>
      </w:r>
    </w:p>
    <w:p>
      <w:pPr>
        <w:pStyle w:val="Normal"/>
        <w:jc w:val="both"/>
        <w:rPr/>
      </w:pPr>
      <w:r>
        <w:rPr/>
        <w:drawing>
          <wp:inline distT="0" distB="0" distL="0" distR="0">
            <wp:extent cx="5829300" cy="27432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jc w:val="both"/>
        <w:rPr/>
      </w:pPr>
      <w:r>
        <w:rPr/>
      </w:r>
    </w:p>
    <w:p>
      <w:pPr>
        <w:pStyle w:val="Normal"/>
        <w:jc w:val="both"/>
        <w:rPr/>
      </w:pPr>
      <w:r>
        <w:rPr/>
        <w:t>Összes jelentkezői létszám 2015-18 között: 2523, 3238, 2733, 2647 fő</w:t>
      </w:r>
    </w:p>
    <w:p>
      <w:pPr>
        <w:pStyle w:val="Normal"/>
        <w:jc w:val="both"/>
        <w:rPr/>
      </w:pPr>
      <w:r>
        <w:rPr/>
        <w:t>Összes felvett hallgatói létszám 2015-18 között: 420, 511, 472 fő, 524 fő</w:t>
      </w:r>
    </w:p>
    <w:p>
      <w:pPr>
        <w:pStyle w:val="Normal"/>
        <w:jc w:val="both"/>
        <w:rPr/>
      </w:pPr>
      <w:r>
        <w:rPr/>
        <w:t>Összes első helyes jelentkező száma 2015-18 között: 580, 776, 682, 699 fő</w:t>
      </w:r>
    </w:p>
    <w:p>
      <w:pPr>
        <w:pStyle w:val="Normal"/>
        <w:jc w:val="both"/>
        <w:rPr/>
      </w:pPr>
      <w:r>
        <w:rPr/>
      </w:r>
    </w:p>
    <w:p>
      <w:pPr>
        <w:pStyle w:val="Normal"/>
        <w:jc w:val="both"/>
        <w:rPr/>
      </w:pPr>
      <w:r>
        <w:rPr/>
        <w:drawing>
          <wp:inline distT="0" distB="0" distL="0" distR="0">
            <wp:extent cx="5760720" cy="2886075"/>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jc w:val="both"/>
        <w:rPr/>
      </w:pPr>
      <w:r>
        <w:rPr/>
        <w:t>Alapképzésre jelentkezettek száma (2018-ban): összesen 1643 fő, ebből nappali 925, levelező 718 fő, 10%-os növekedés a 2017-es adatokhoz képest; az első helyes jelentkezések is közel 10%-os emelkedést mutatnak az előző évhez képest.</w:t>
      </w:r>
    </w:p>
    <w:p>
      <w:pPr>
        <w:pStyle w:val="Normal"/>
        <w:jc w:val="both"/>
        <w:rPr/>
      </w:pPr>
      <w:r>
        <w:rPr/>
        <w:t>Mesterképzésre jelentkezettek száma (2018-ban): összesen 144 fő, ebből nappali 20, levelező 124 fő.</w:t>
      </w:r>
    </w:p>
    <w:p>
      <w:pPr>
        <w:pStyle w:val="Normal"/>
        <w:jc w:val="both"/>
        <w:rPr/>
      </w:pPr>
      <w:r>
        <w:rPr/>
        <w:t xml:space="preserve">Osztatlan tanárképzésre jelentkezettek száma (2018-ban): összesen 4 fő, ebből nappali 2, </w:t>
        <w:br/>
        <w:t>levelező 2 fő! Ezzel az egynegyedére csökkent a jelentkezők száma az előző évihez képest.</w:t>
      </w:r>
    </w:p>
    <w:p>
      <w:pPr>
        <w:pStyle w:val="Normal"/>
        <w:spacing w:before="0" w:after="0"/>
        <w:jc w:val="both"/>
        <w:rPr/>
      </w:pPr>
      <w:r>
        <w:rPr/>
        <w:t>Nappali tagozat összesen (2018): 1478 fő, mely az összejelentkezői létszám 56%-a.</w:t>
      </w:r>
    </w:p>
    <w:p>
      <w:pPr>
        <w:pStyle w:val="Normal"/>
        <w:spacing w:before="0" w:after="0"/>
        <w:jc w:val="both"/>
        <w:rPr/>
      </w:pPr>
      <w:r>
        <w:rPr/>
        <w:t>Levelező tagozat összesen (2018): 1169 fő, az összjelentkezői létszám 44%-a.</w:t>
      </w:r>
    </w:p>
    <w:p>
      <w:pPr>
        <w:pStyle w:val="Normal"/>
        <w:spacing w:before="0" w:after="0"/>
        <w:jc w:val="both"/>
        <w:rPr/>
      </w:pPr>
      <w:r>
        <w:rPr/>
      </w:r>
    </w:p>
    <w:p>
      <w:pPr>
        <w:pStyle w:val="Normal"/>
        <w:spacing w:before="0" w:after="0"/>
        <w:jc w:val="both"/>
        <w:rPr/>
      </w:pPr>
      <w:r>
        <w:rPr/>
        <w:t xml:space="preserve">Alapképzésre </w:t>
      </w:r>
      <w:r>
        <w:rPr>
          <w:i/>
        </w:rPr>
        <w:t xml:space="preserve">felvettek </w:t>
      </w:r>
      <w:r>
        <w:rPr/>
        <w:t>száma (2018-ban): összesen 239 fő, ebből nappali 153, levelező 57 fő.</w:t>
      </w:r>
    </w:p>
    <w:p>
      <w:pPr>
        <w:pStyle w:val="Normal"/>
        <w:spacing w:before="0" w:after="0"/>
        <w:jc w:val="both"/>
        <w:rPr/>
      </w:pPr>
      <w:r>
        <w:rPr/>
        <w:t xml:space="preserve">Mesterképzésre </w:t>
      </w:r>
      <w:r>
        <w:rPr>
          <w:i/>
        </w:rPr>
        <w:t>felvettek</w:t>
      </w:r>
      <w:r>
        <w:rPr/>
        <w:t xml:space="preserve"> száma (2018-ban): összesen 48 fő, ebből nappali 2, levelező 46 fő.</w:t>
      </w:r>
    </w:p>
    <w:p>
      <w:pPr>
        <w:pStyle w:val="Normal"/>
        <w:spacing w:before="0" w:after="0"/>
        <w:jc w:val="both"/>
        <w:rPr/>
      </w:pPr>
      <w:r>
        <w:rPr/>
        <w:t xml:space="preserve">Osztatlan képzésre </w:t>
      </w:r>
      <w:r>
        <w:rPr>
          <w:i/>
        </w:rPr>
        <w:t>felvettek</w:t>
      </w:r>
      <w:r>
        <w:rPr/>
        <w:t xml:space="preserve"> száma (2018-ban): összesen 1 fő, ebből nappali 0, levelező 1 fő.</w:t>
      </w:r>
    </w:p>
    <w:p>
      <w:pPr>
        <w:pStyle w:val="Normal"/>
        <w:spacing w:before="0" w:after="0"/>
        <w:jc w:val="both"/>
        <w:rPr/>
      </w:pPr>
      <w:r>
        <w:rPr/>
        <w:t xml:space="preserve">FOSZ képzésre </w:t>
      </w:r>
      <w:r>
        <w:rPr>
          <w:i/>
        </w:rPr>
        <w:t xml:space="preserve">felvettek </w:t>
      </w:r>
      <w:r>
        <w:rPr/>
        <w:t>száma (2018-ban): összesen 236 fő, ebből nappali 154, levelező 82 fő.</w:t>
      </w:r>
    </w:p>
    <w:p>
      <w:pPr>
        <w:pStyle w:val="Normal"/>
        <w:spacing w:before="0" w:after="0"/>
        <w:jc w:val="both"/>
        <w:rPr/>
      </w:pPr>
      <w:r>
        <w:rPr/>
      </w:r>
    </w:p>
    <w:p>
      <w:pPr>
        <w:pStyle w:val="Normal"/>
        <w:spacing w:before="0" w:after="0"/>
        <w:jc w:val="both"/>
        <w:rPr/>
      </w:pPr>
      <w:r>
        <w:rPr/>
        <w:drawing>
          <wp:inline distT="0" distB="0" distL="0" distR="0">
            <wp:extent cx="5981700" cy="2095500"/>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jc w:val="both"/>
        <w:rPr/>
      </w:pPr>
      <w:r>
        <w:rPr/>
      </w:r>
    </w:p>
    <w:p>
      <w:pPr>
        <w:pStyle w:val="Normal"/>
        <w:jc w:val="both"/>
        <w:rPr/>
      </w:pPr>
      <w:r>
        <w:rPr/>
        <w:t>A jelentkező hallgatók 70%-a választotta az alapképzést 2015-ben, míg ez arány 2018-ra 62%-ra csökkent, míg a FOSZ képzési szintet választók aránya 27-ről 32%-re növekedett, a mesterképzést a jelentkezők 5%-a választotta.</w:t>
      </w:r>
    </w:p>
    <w:p>
      <w:pPr>
        <w:pStyle w:val="Normal"/>
        <w:jc w:val="both"/>
        <w:rPr/>
      </w:pPr>
      <w:r>
        <w:rPr/>
        <w:t>A kar összesített adatai alapján a jelentkezett, az első helyes jelentkezők és a felvett hallgatói létszám is 9%-os emelkedést mutat 2017-ben, 2015-höz képest. A 2017-es adatok: 2733 jelentkező, ebből első helyes 682 fő, felvettek száma 472 fő. Ehhez képest a 2018-as adatok kisebb csökkenést mutat jelentkezői számban: 2647 fő; és növekedést az első helyes jelentkezésekben: 699. Az indított képzések átlagos hallgatói létszáma 6,94 fő.</w:t>
      </w:r>
    </w:p>
    <w:p>
      <w:pPr>
        <w:pStyle w:val="Normal"/>
        <w:jc w:val="both"/>
        <w:rPr/>
      </w:pPr>
      <w:r>
        <w:rPr/>
        <w:t>Kampuszonként az alábbi felvett hallgatói létszámot találjuk 2017-ben: Eger 276 fő, Gyöngyös 173 fő, Sárospatak 18 fő, Jászberény 5 fő. Jelentkezői létszámok 2018-ban: 1451, csökkenés 2017-hez képest; Gyöngyös 1112, növekedés az előző évhez; Sárospatak 25 fő növekedés; Jászberény 59 fő növekedés. Az első helyes jelentkezések Sárospatak kivételével, mindenütt emelkedést mutatnak.</w:t>
      </w:r>
    </w:p>
    <w:p>
      <w:pPr>
        <w:pStyle w:val="Normal"/>
        <w:jc w:val="both"/>
        <w:rPr/>
      </w:pPr>
      <w:r>
        <w:rPr/>
        <w:drawing>
          <wp:inline distT="0" distB="0" distL="0" distR="0">
            <wp:extent cx="5791200" cy="5276850"/>
            <wp:effectExtent l="0" t="0" r="0" b="0"/>
            <wp:docPr id="1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Normal"/>
        <w:jc w:val="both"/>
        <w:rPr/>
      </w:pPr>
      <w:r>
        <w:rPr/>
        <w:t>A jelentkezők számát illetően kiemelkedő 2017-ben és 18-ban egyaránt a gazdálkodási és menedzsment alap, nappali képzés, 151 fővel (2017-ben 26 felvett hallgatóval), és 54 első helyes jelentkezővel; ezt követi a tavalyi évben meghirdetett, de el nem indított gazdálkodási és menedzsment (angol nyelven), Gyöngyösön, alap, nappali formában. Erre a szakra tavaly nem jelentkeztek, az idén 102 fő nyújtotta be ide a jelentkezését, ebből 26 első helyen.</w:t>
      </w:r>
    </w:p>
    <w:p>
      <w:pPr>
        <w:pStyle w:val="Normal"/>
        <w:jc w:val="both"/>
        <w:rPr/>
      </w:pPr>
      <w:r>
        <w:rPr/>
        <w:t>Ezt követően az egri gazdálkodási és menedzsment felsőoktatási szakképzés nappali tagozata 102 fővel (2017-ben 49 felvett hallgatóval) és az emberi erőforrások alap, levelező szak szintén 101 fővel (tavaly felvett 15 hallgatóval). A legnagyobb felvett hallgatói létszámot is az egri gazdálkodási és menedzsment FOSZ nappali tagozata képviseli.</w:t>
      </w:r>
    </w:p>
    <w:p>
      <w:pPr>
        <w:pStyle w:val="Normal"/>
        <w:rPr/>
      </w:pPr>
      <w:r>
        <w:rPr/>
      </w:r>
      <w:r>
        <w:br w:type="page"/>
      </w:r>
    </w:p>
    <w:p>
      <w:pPr>
        <w:pStyle w:val="Normal"/>
        <w:jc w:val="both"/>
        <w:rPr/>
      </w:pPr>
      <w:r>
        <w:rPr/>
      </w:r>
    </w:p>
    <w:p>
      <w:pPr>
        <w:pStyle w:val="Heading3"/>
        <w:rPr>
          <w:b/>
          <w:b/>
        </w:rPr>
      </w:pPr>
      <w:bookmarkStart w:id="12" w:name="_Toc4068117"/>
      <w:r>
        <w:rPr>
          <w:b/>
        </w:rPr>
        <w:t>Képzési területenkénti elemzés</w:t>
      </w:r>
      <w:bookmarkEnd w:id="12"/>
    </w:p>
    <w:p>
      <w:pPr>
        <w:pStyle w:val="Normal"/>
        <w:rPr/>
      </w:pPr>
      <w:r>
        <w:rPr/>
      </w:r>
    </w:p>
    <w:p>
      <w:pPr>
        <w:pStyle w:val="Normal"/>
        <w:jc w:val="both"/>
        <w:rPr>
          <w:b/>
          <w:b/>
        </w:rPr>
      </w:pPr>
      <w:r>
        <w:rPr>
          <w:b/>
        </w:rPr>
        <w:t>A szakok képzési területenkénti elemzésével az alábbiakat állapíthatjuk meg 2017 évre</w:t>
      </w:r>
    </w:p>
    <w:p>
      <w:pPr>
        <w:pStyle w:val="Normal"/>
        <w:jc w:val="both"/>
        <w:rPr>
          <w:b/>
          <w:b/>
        </w:rPr>
      </w:pPr>
      <w:r>
        <w:rPr/>
        <w:drawing>
          <wp:inline distT="0" distB="0" distL="0" distR="0">
            <wp:extent cx="5943600" cy="2476500"/>
            <wp:effectExtent l="0" t="0" r="0" b="0"/>
            <wp:docPr id="1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Normal"/>
        <w:jc w:val="both"/>
        <w:rPr>
          <w:i/>
          <w:i/>
        </w:rPr>
      </w:pPr>
      <w:r>
        <w:rPr>
          <w:i/>
        </w:rPr>
        <w:t>Gazdaságtudományi képzési terület</w:t>
      </w:r>
    </w:p>
    <w:p>
      <w:pPr>
        <w:pStyle w:val="ListParagraph"/>
        <w:numPr>
          <w:ilvl w:val="0"/>
          <w:numId w:val="1"/>
        </w:numPr>
        <w:jc w:val="both"/>
        <w:rPr/>
      </w:pPr>
      <w:r>
        <w:rPr/>
        <w:t>51 meghirdetett szak (ebből 18 alapképzés – nappali és levelező; 22 FOSZ – nappali és levelező; 11 mesterszak – nappali és levelező),</w:t>
      </w:r>
    </w:p>
    <w:p>
      <w:pPr>
        <w:pStyle w:val="ListParagraph"/>
        <w:numPr>
          <w:ilvl w:val="0"/>
          <w:numId w:val="1"/>
        </w:numPr>
        <w:jc w:val="both"/>
        <w:rPr/>
      </w:pPr>
      <w:r>
        <w:rPr/>
        <w:t>35 indított szak (ebből alapképzés 10 – nappali és levelező; FOSZ 19 – nappali és levelező; 6 mesterszak – nappali és levelező),</w:t>
      </w:r>
    </w:p>
    <w:p>
      <w:pPr>
        <w:pStyle w:val="ListParagraph"/>
        <w:numPr>
          <w:ilvl w:val="0"/>
          <w:numId w:val="1"/>
        </w:numPr>
        <w:jc w:val="both"/>
        <w:rPr/>
      </w:pPr>
      <w:r>
        <w:rPr/>
        <w:t>3 képzési helyszín (Jászberény kivételével),</w:t>
      </w:r>
    </w:p>
    <w:p>
      <w:pPr>
        <w:pStyle w:val="ListParagraph"/>
        <w:numPr>
          <w:ilvl w:val="0"/>
          <w:numId w:val="1"/>
        </w:numPr>
        <w:jc w:val="both"/>
        <w:rPr/>
      </w:pPr>
      <w:r>
        <w:rPr/>
        <w:t>erre a képzési területre vonatkoztak a kari bevezető legsikeresebb szakjairól szóló adatok,</w:t>
      </w:r>
    </w:p>
    <w:p>
      <w:pPr>
        <w:pStyle w:val="ListParagraph"/>
        <w:numPr>
          <w:ilvl w:val="0"/>
          <w:numId w:val="1"/>
        </w:numPr>
        <w:jc w:val="both"/>
        <w:rPr/>
      </w:pPr>
      <w:r>
        <w:rPr/>
        <w:t>itt található az indított szakok negatív rekordja is a gyöngyösi vállalkozásfejlesztés (angol nyelven) mester, nappali tagozatára 2 fő jelentkezett.</w:t>
      </w:r>
    </w:p>
    <w:p>
      <w:pPr>
        <w:pStyle w:val="Normal"/>
        <w:jc w:val="both"/>
        <w:rPr>
          <w:i/>
          <w:i/>
        </w:rPr>
      </w:pPr>
      <w:r>
        <w:rPr>
          <w:i/>
        </w:rPr>
        <w:t>Informatikai képzési terület</w:t>
      </w:r>
    </w:p>
    <w:p>
      <w:pPr>
        <w:pStyle w:val="Normal"/>
        <w:jc w:val="both"/>
        <w:rPr/>
      </w:pPr>
      <w:r>
        <w:rPr/>
        <w:t xml:space="preserve">Gazdaságinformatikus képzés zajlik Egerben és Gyöngyösön. </w:t>
      </w:r>
    </w:p>
    <w:p>
      <w:pPr>
        <w:pStyle w:val="ListParagraph"/>
        <w:numPr>
          <w:ilvl w:val="0"/>
          <w:numId w:val="1"/>
        </w:numPr>
        <w:jc w:val="both"/>
        <w:rPr/>
      </w:pPr>
      <w:r>
        <w:rPr/>
        <w:t>8 meghirdetett szak (ebből 4 alapképzés, 4 FOSZ, mindkettő nappali és levelező tagozaton is),</w:t>
      </w:r>
    </w:p>
    <w:p>
      <w:pPr>
        <w:pStyle w:val="ListParagraph"/>
        <w:numPr>
          <w:ilvl w:val="0"/>
          <w:numId w:val="1"/>
        </w:numPr>
        <w:jc w:val="both"/>
        <w:rPr/>
      </w:pPr>
      <w:r>
        <w:rPr/>
        <w:t>5 indított szak (ebből 3 alapképzés, 2 FOSZ nappali és levelező tagozaton),</w:t>
      </w:r>
    </w:p>
    <w:p>
      <w:pPr>
        <w:pStyle w:val="ListParagraph"/>
        <w:numPr>
          <w:ilvl w:val="0"/>
          <w:numId w:val="1"/>
        </w:numPr>
        <w:jc w:val="both"/>
        <w:rPr/>
      </w:pPr>
      <w:r>
        <w:rPr/>
        <w:t xml:space="preserve">legtöbb jelentkezett hallgató az egri alap, levelező képzésre történt (57 fő, felvettek </w:t>
        <w:br/>
        <w:t>száma 2017-ben 15 fő volt),</w:t>
      </w:r>
    </w:p>
    <w:p>
      <w:pPr>
        <w:pStyle w:val="ListParagraph"/>
        <w:numPr>
          <w:ilvl w:val="0"/>
          <w:numId w:val="1"/>
        </w:numPr>
        <w:jc w:val="both"/>
        <w:rPr/>
      </w:pPr>
      <w:r>
        <w:rPr/>
        <w:t>a legnagyobb létszámú csoportok 15 fősek, az egyik képzés a fent említett egri alap nappali, a másik a szintén egri helyszínű FOSZ nappali tagozatú szak,</w:t>
      </w:r>
    </w:p>
    <w:p>
      <w:pPr>
        <w:pStyle w:val="ListParagraph"/>
        <w:numPr>
          <w:ilvl w:val="0"/>
          <w:numId w:val="1"/>
        </w:numPr>
        <w:jc w:val="both"/>
        <w:rPr/>
      </w:pPr>
      <w:r>
        <w:rPr/>
        <w:t>a legkisebb csoportlétszám a gyöngyösi alap, nappali szakon van,</w:t>
      </w:r>
    </w:p>
    <w:p>
      <w:pPr>
        <w:pStyle w:val="ListParagraph"/>
        <w:numPr>
          <w:ilvl w:val="0"/>
          <w:numId w:val="1"/>
        </w:numPr>
        <w:jc w:val="both"/>
        <w:rPr/>
      </w:pPr>
      <w:r>
        <w:rPr/>
        <w:t>a legkevesebb jelentkezés az egri levelező és a gyöngyösi nappali FOSZ képzésre volt (2-2 fő).</w:t>
      </w:r>
    </w:p>
    <w:p>
      <w:pPr>
        <w:pStyle w:val="Normal"/>
        <w:jc w:val="both"/>
        <w:rPr>
          <w:i/>
          <w:i/>
        </w:rPr>
      </w:pPr>
      <w:r>
        <w:rPr>
          <w:i/>
        </w:rPr>
        <w:t>Pedagógiai képzési terület</w:t>
      </w:r>
    </w:p>
    <w:p>
      <w:pPr>
        <w:pStyle w:val="Normal"/>
        <w:jc w:val="both"/>
        <w:rPr/>
      </w:pPr>
      <w:r>
        <w:rPr/>
        <w:t>Itt két féle 10 féléves tanárképzés került meghirdetésre: osztatlan tanári [10 félév [közgazdásztanár [vállalkozási ismeretek]]], nappali és levelező tagozaton, egri képzési helyszínen. E kettőből csak a levelező képzés indult el 2017-ben, 10 jelentkezés, 2 felvett hallgató, míg a nappali nem indult (6 jelentkező, 0 felvett hallgató). Ez a tendencia folytatódik 2018-ban is 2-2 jelentkezett hallgatóval, így valószínű, ez szeptemberben nem fog indulni.</w:t>
      </w:r>
    </w:p>
    <w:p>
      <w:pPr>
        <w:pStyle w:val="Normal"/>
        <w:jc w:val="both"/>
        <w:rPr>
          <w:i/>
          <w:i/>
        </w:rPr>
      </w:pPr>
      <w:r>
        <w:rPr>
          <w:i/>
        </w:rPr>
        <w:t>Társadalomtudományi képzési terület</w:t>
      </w:r>
    </w:p>
    <w:p>
      <w:pPr>
        <w:pStyle w:val="ListParagraph"/>
        <w:numPr>
          <w:ilvl w:val="0"/>
          <w:numId w:val="1"/>
        </w:numPr>
        <w:jc w:val="both"/>
        <w:rPr/>
      </w:pPr>
      <w:r>
        <w:rPr/>
        <w:t>Egri és jászberényi képzési helyszín,</w:t>
      </w:r>
    </w:p>
    <w:p>
      <w:pPr>
        <w:pStyle w:val="ListParagraph"/>
        <w:numPr>
          <w:ilvl w:val="0"/>
          <w:numId w:val="1"/>
        </w:numPr>
        <w:jc w:val="both"/>
        <w:rPr/>
      </w:pPr>
      <w:r>
        <w:rPr/>
        <w:t>11 meghirdetett szak (ebből 8 alapképzés – nappali és levelező tagozat, 3 mester képzés – nappali és levelező tagozat),</w:t>
      </w:r>
    </w:p>
    <w:p>
      <w:pPr>
        <w:pStyle w:val="ListParagraph"/>
        <w:numPr>
          <w:ilvl w:val="0"/>
          <w:numId w:val="1"/>
        </w:numPr>
        <w:jc w:val="both"/>
        <w:rPr/>
      </w:pPr>
      <w:r>
        <w:rPr/>
        <w:t>3 elindított alapszak, melyből a legsikeresebbnek az egri szociálpedagógia szak mondható: nappali szakra 97 jelentkezés, 9 felvett hallgató 2017-ben, levelezőre 85 jelentkezés, 8 felvett hallgató 2017-ben. A nemzetközi tanulmányok alap, nappali képzése a harmadik helyes szak ebben a kategóriában, mely 2017-bebn nem is indult, itt 66 jelentkező volt, megelőzve a jászberényi szociális munka alap, nappali szak 59 fős jelentkezését.</w:t>
      </w:r>
    </w:p>
    <w:p>
      <w:pPr>
        <w:pStyle w:val="ListParagraph"/>
        <w:numPr>
          <w:ilvl w:val="0"/>
          <w:numId w:val="1"/>
        </w:numPr>
        <w:jc w:val="both"/>
        <w:rPr/>
      </w:pPr>
      <w:r>
        <w:rPr/>
        <w:t>ezen a képzési területen találhatóak a kommunikáció- és médiatudományi alapszakok, ahol magas jelentkezői létszám mellett a szak mégsem indult el (lsd. lejjebb),</w:t>
      </w:r>
    </w:p>
    <w:p>
      <w:pPr>
        <w:pStyle w:val="ListParagraph"/>
        <w:numPr>
          <w:ilvl w:val="0"/>
          <w:numId w:val="1"/>
        </w:numPr>
        <w:jc w:val="both"/>
        <w:rPr/>
      </w:pPr>
      <w:r>
        <w:rPr/>
        <w:t xml:space="preserve">a nemzetközi tanulmányok szak mesterképzései (lsd. lejjebb). </w:t>
      </w:r>
    </w:p>
    <w:p>
      <w:pPr>
        <w:pStyle w:val="ListParagraph"/>
        <w:numPr>
          <w:ilvl w:val="0"/>
          <w:numId w:val="1"/>
        </w:numPr>
        <w:jc w:val="both"/>
        <w:rPr/>
      </w:pPr>
      <w:r>
        <w:rPr/>
        <w:t>2017-ben már nem került meghirdetésre Gyöngyösön az emberi erőforrások alapszak nappali és levelező kurzusa, a turizmus menedzsment mester, nappali és a vállalkozásfejlesztés mester nappali szak. Az utóbbi két szak már 2016-ban sem került meghirdetésre az alacsony jelentkezői létszám miatt (2 és 6 fő jelentkezett).</w:t>
      </w:r>
      <w:r>
        <w:rPr>
          <w:lang w:eastAsia="hu-HU"/>
        </w:rPr>
        <w:t xml:space="preserve"> </w:t>
      </w:r>
    </w:p>
    <w:p>
      <w:pPr>
        <w:pStyle w:val="ListParagraph"/>
        <w:jc w:val="both"/>
        <w:rPr/>
      </w:pPr>
      <w:r>
        <w:rPr/>
      </w:r>
    </w:p>
    <w:p>
      <w:pPr>
        <w:pStyle w:val="Normal"/>
        <w:jc w:val="both"/>
        <w:rPr/>
      </w:pPr>
      <w:r>
        <w:rPr/>
        <w:t>2017-es évben 5 olyan angol nyelvű került meghirdetésre, melyre nem volt jelentkező:</w:t>
      </w:r>
    </w:p>
    <w:p>
      <w:pPr>
        <w:pStyle w:val="ListParagraph"/>
        <w:numPr>
          <w:ilvl w:val="0"/>
          <w:numId w:val="1"/>
        </w:numPr>
        <w:jc w:val="both"/>
        <w:rPr/>
      </w:pPr>
      <w:r>
        <w:rPr/>
        <w:t>turizmus-vendéglátás (angol nyelven), alapképzés, nappali tagozat, Gyöngyösi Campus,</w:t>
      </w:r>
    </w:p>
    <w:p>
      <w:pPr>
        <w:pStyle w:val="ListParagraph"/>
        <w:numPr>
          <w:ilvl w:val="0"/>
          <w:numId w:val="1"/>
        </w:numPr>
        <w:jc w:val="both"/>
        <w:rPr/>
      </w:pPr>
      <w:r>
        <w:rPr/>
        <w:t>nemzetközi tanulmányok (angol nyelven), mesterképzés, nappali tagozat, Egri Campus,</w:t>
      </w:r>
    </w:p>
    <w:p>
      <w:pPr>
        <w:pStyle w:val="ListParagraph"/>
        <w:numPr>
          <w:ilvl w:val="0"/>
          <w:numId w:val="1"/>
        </w:numPr>
        <w:jc w:val="both"/>
        <w:rPr/>
      </w:pPr>
      <w:r>
        <w:rPr/>
        <w:t>turizmus-menedzsment (angol nyelven), mesterképzés, nappali tagozat, Gyöngyösi Campus,</w:t>
      </w:r>
    </w:p>
    <w:p>
      <w:pPr>
        <w:pStyle w:val="ListParagraph"/>
        <w:numPr>
          <w:ilvl w:val="0"/>
          <w:numId w:val="1"/>
        </w:numPr>
        <w:jc w:val="both"/>
        <w:rPr/>
      </w:pPr>
      <w:r>
        <w:rPr/>
        <w:t>vállalkozásfejlesztés (angol nyelven), mesterképzés, nappali tagozat, Gyöngyösi Campus,</w:t>
      </w:r>
    </w:p>
    <w:p>
      <w:pPr>
        <w:pStyle w:val="ListParagraph"/>
        <w:numPr>
          <w:ilvl w:val="0"/>
          <w:numId w:val="1"/>
        </w:numPr>
        <w:jc w:val="both"/>
        <w:rPr/>
      </w:pPr>
      <w:r>
        <w:rPr/>
        <w:t>vezetés és szervezés (angol nyelven), mesterképzés, nappali tagozat, Gyöngyösi Campus.</w:t>
      </w:r>
    </w:p>
    <w:p>
      <w:pPr>
        <w:pStyle w:val="Normal"/>
        <w:jc w:val="both"/>
        <w:rPr/>
      </w:pPr>
      <w:r>
        <w:rPr/>
        <w:t xml:space="preserve">Emellett 2017-ben 17 olyan szak volt meghirdetve, melyre végül nem vett fel az intézmény hallgatót. Ezen adatokat elemezve, csak néhányukat indokolhatja az alacsony jelentkezési szám, érdekességképpen vannak olyan szakok, melyre a jelentkezők száma növekedést mutat, így itt a bemeneti feltételek nem teljesülése indokolhatja, hogy nem indult a képzés. A nem indított kurzusok közt 10-nél gyöngyösi, 6-nál egri, 1-nél jászberényi helyszínen indult volna az oktatás. </w:t>
      </w:r>
    </w:p>
    <w:p>
      <w:pPr>
        <w:pStyle w:val="Normal"/>
        <w:jc w:val="both"/>
        <w:rPr/>
      </w:pPr>
      <w:r>
        <w:rPr/>
        <w:t>Alacsony jelentkezői létszám miatt nem indult szakok 2017-ben:</w:t>
      </w:r>
    </w:p>
    <w:p>
      <w:pPr>
        <w:pStyle w:val="ListParagraph"/>
        <w:numPr>
          <w:ilvl w:val="0"/>
          <w:numId w:val="1"/>
        </w:numPr>
        <w:jc w:val="both"/>
        <w:rPr/>
      </w:pPr>
      <w:r>
        <w:rPr/>
        <w:t>szociális munka (Jászberény), alap, nappali – nem indult 2015-ben, 16-ban sem (7, 12, 4 fős jelentkezői létszám), társadalomtudományi képzési terület,</w:t>
      </w:r>
    </w:p>
    <w:p>
      <w:pPr>
        <w:pStyle w:val="ListParagraph"/>
        <w:numPr>
          <w:ilvl w:val="0"/>
          <w:numId w:val="1"/>
        </w:numPr>
        <w:jc w:val="both"/>
        <w:rPr/>
      </w:pPr>
      <w:r>
        <w:rPr/>
        <w:t>osztatlan tanári [10 félév [közgazdásztanár [vállalkozási ismeretek]]] (Eger), osztatlan, nappali (10, 9, 6 fős jelentkezés), pedagógiai képzési terület,</w:t>
      </w:r>
    </w:p>
    <w:p>
      <w:pPr>
        <w:pStyle w:val="ListParagraph"/>
        <w:numPr>
          <w:ilvl w:val="0"/>
          <w:numId w:val="1"/>
        </w:numPr>
        <w:jc w:val="both"/>
        <w:rPr/>
      </w:pPr>
      <w:r>
        <w:rPr/>
        <w:t>nemzetközi tanulmányok (magyar nyelven) (Eger), mester, nappali (4, 9, 5 fős jelentkezés), társadalomtudományi képzési terület.</w:t>
      </w:r>
    </w:p>
    <w:p>
      <w:pPr>
        <w:pStyle w:val="Normal"/>
        <w:jc w:val="both"/>
        <w:rPr/>
      </w:pPr>
      <w:r>
        <w:rPr/>
        <w:t>Növekvő jelentkezői létszámot mutató, mégsem indított szakok:</w:t>
      </w:r>
    </w:p>
    <w:p>
      <w:pPr>
        <w:pStyle w:val="ListParagraph"/>
        <w:numPr>
          <w:ilvl w:val="0"/>
          <w:numId w:val="1"/>
        </w:numPr>
        <w:jc w:val="both"/>
        <w:rPr/>
      </w:pPr>
      <w:r>
        <w:rPr/>
        <w:t>kereskedelem és marketing (Gyöngyös), alapképzés, nappali tagozat (57, 57, 58 fő),</w:t>
      </w:r>
    </w:p>
    <w:p>
      <w:pPr>
        <w:pStyle w:val="ListParagraph"/>
        <w:numPr>
          <w:ilvl w:val="0"/>
          <w:numId w:val="1"/>
        </w:numPr>
        <w:jc w:val="both"/>
        <w:rPr/>
      </w:pPr>
      <w:r>
        <w:rPr/>
        <w:t>kommunikáció- és médiatudomány (Eger), alapképzés, nappali tagozat (53, 47, 68 fő)</w:t>
      </w:r>
    </w:p>
    <w:p>
      <w:pPr>
        <w:pStyle w:val="ListParagraph"/>
        <w:numPr>
          <w:ilvl w:val="0"/>
          <w:numId w:val="1"/>
        </w:numPr>
        <w:jc w:val="both"/>
        <w:rPr/>
      </w:pPr>
      <w:r>
        <w:rPr/>
        <w:t>pénzügy és számvitel (Gyöngyös), alapképzés, nappali tagozat (51, 51, 53 fő)</w:t>
      </w:r>
    </w:p>
    <w:p>
      <w:pPr>
        <w:pStyle w:val="ListParagraph"/>
        <w:numPr>
          <w:ilvl w:val="0"/>
          <w:numId w:val="1"/>
        </w:numPr>
        <w:jc w:val="both"/>
        <w:rPr/>
      </w:pPr>
      <w:r>
        <w:rPr/>
        <w:t>kommunikáció- és médiatudomány (Eger), alapképzés, levelező tagozat (24, 27, 41 fő)</w:t>
      </w:r>
    </w:p>
    <w:p>
      <w:pPr>
        <w:pStyle w:val="ListParagraph"/>
        <w:numPr>
          <w:ilvl w:val="0"/>
          <w:numId w:val="1"/>
        </w:numPr>
        <w:jc w:val="both"/>
        <w:rPr/>
      </w:pPr>
      <w:r>
        <w:rPr/>
        <w:t>nemzetközi tanulmányok (Eger), alapképzés, levelező tagozat (9, 11, 20 fő)</w:t>
      </w:r>
    </w:p>
    <w:p>
      <w:pPr>
        <w:pStyle w:val="ListParagraph"/>
        <w:numPr>
          <w:ilvl w:val="0"/>
          <w:numId w:val="1"/>
        </w:numPr>
        <w:jc w:val="both"/>
        <w:rPr/>
      </w:pPr>
      <w:r>
        <w:rPr/>
        <w:t>nemzetközi tanulmányok (Eger), mesterképzés, levelező tagozat (4, 12. 10 fő)</w:t>
      </w:r>
    </w:p>
    <w:p>
      <w:pPr>
        <w:pStyle w:val="ListParagraph"/>
        <w:numPr>
          <w:ilvl w:val="0"/>
          <w:numId w:val="1"/>
        </w:numPr>
        <w:jc w:val="both"/>
        <w:rPr/>
      </w:pPr>
      <w:r>
        <w:rPr/>
        <w:t>gazdaságinformatikus (Gyöngyös), felsőoktatási szakképzés, levelező tagozat (11,18,19 fő)</w:t>
      </w:r>
    </w:p>
    <w:p>
      <w:pPr>
        <w:pStyle w:val="Normal"/>
        <w:jc w:val="both"/>
        <w:rPr/>
      </w:pPr>
      <w:r>
        <w:rPr/>
        <w:t>Nagy csökkenést mutató szak a Gyöngyösre meghirdetett turizmus-vendéglátás alap, levelező szak volt 57, 33, 20 fő jelentkezésével.</w:t>
      </w:r>
    </w:p>
    <w:p>
      <w:pPr>
        <w:pStyle w:val="Normal"/>
        <w:jc w:val="both"/>
        <w:rPr/>
      </w:pPr>
      <w:r>
        <w:rPr/>
        <w:t>A többi szak stagnáló vagy nagyon kis csökkenést mutat a jelentkezői létszám tekintetében.</w:t>
      </w:r>
    </w:p>
    <w:p>
      <w:pPr>
        <w:pStyle w:val="Normal"/>
        <w:jc w:val="both"/>
        <w:rPr/>
      </w:pPr>
      <w:r>
        <w:rPr/>
        <w:t>Stagnáló jelentkezői létszám mellett, nem meghirdetett szakok:</w:t>
      </w:r>
    </w:p>
    <w:p>
      <w:pPr>
        <w:pStyle w:val="ListParagraph"/>
        <w:numPr>
          <w:ilvl w:val="0"/>
          <w:numId w:val="1"/>
        </w:numPr>
        <w:jc w:val="both"/>
        <w:rPr>
          <w:rFonts w:cs="Calibri" w:cstheme="minorHAnsi"/>
        </w:rPr>
      </w:pPr>
      <w:r>
        <w:rPr>
          <w:rFonts w:eastAsia="Times New Roman" w:cs="Calibri" w:cstheme="minorHAnsi"/>
          <w:color w:val="000000"/>
          <w:lang w:eastAsia="hu-HU"/>
        </w:rPr>
        <w:t>nemzetközi tanulmányok (Eger), alap, nappali</w:t>
      </w:r>
    </w:p>
    <w:p>
      <w:pPr>
        <w:pStyle w:val="ListParagraph"/>
        <w:numPr>
          <w:ilvl w:val="0"/>
          <w:numId w:val="1"/>
        </w:numPr>
        <w:spacing w:lineRule="auto" w:line="240" w:before="0" w:after="0"/>
        <w:contextualSpacing/>
        <w:jc w:val="both"/>
        <w:rPr>
          <w:rFonts w:eastAsia="Times New Roman" w:cs="Calibri" w:cstheme="minorHAnsi"/>
          <w:color w:val="000000"/>
          <w:lang w:eastAsia="hu-HU"/>
        </w:rPr>
      </w:pPr>
      <w:r>
        <w:rPr>
          <w:rFonts w:eastAsia="Times New Roman" w:cs="Calibri" w:cstheme="minorHAnsi"/>
          <w:color w:val="000000"/>
          <w:lang w:eastAsia="hu-HU"/>
        </w:rPr>
        <w:t>gazdaságinformatikus (Gyöngyös), felsőoktatási szakképzés, nappali</w:t>
      </w:r>
    </w:p>
    <w:p>
      <w:pPr>
        <w:pStyle w:val="ListParagraph"/>
        <w:numPr>
          <w:ilvl w:val="0"/>
          <w:numId w:val="1"/>
        </w:numPr>
        <w:spacing w:lineRule="auto" w:line="240" w:before="0" w:after="0"/>
        <w:contextualSpacing/>
        <w:jc w:val="both"/>
        <w:rPr>
          <w:rFonts w:eastAsia="Times New Roman" w:cs="Calibri" w:cstheme="minorHAnsi"/>
          <w:color w:val="000000"/>
          <w:lang w:eastAsia="hu-HU"/>
        </w:rPr>
      </w:pPr>
      <w:r>
        <w:rPr>
          <w:rFonts w:eastAsia="Times New Roman" w:cs="Calibri" w:cstheme="minorHAnsi"/>
          <w:color w:val="000000"/>
          <w:lang w:eastAsia="hu-HU"/>
        </w:rPr>
        <w:t>turizmus-vendéglátás [vendéglátás] (Gyöngyös), felsőoktatási szakképzés, nappali</w:t>
      </w:r>
    </w:p>
    <w:p>
      <w:pPr>
        <w:pStyle w:val="ListParagraph"/>
        <w:numPr>
          <w:ilvl w:val="0"/>
          <w:numId w:val="1"/>
        </w:numPr>
        <w:spacing w:lineRule="auto" w:line="240" w:before="0" w:after="0"/>
        <w:contextualSpacing/>
        <w:jc w:val="both"/>
        <w:rPr>
          <w:rFonts w:eastAsia="Times New Roman" w:cs="Calibri" w:cstheme="minorHAnsi"/>
          <w:color w:val="000000"/>
          <w:lang w:eastAsia="hu-HU"/>
        </w:rPr>
      </w:pPr>
      <w:r>
        <w:rPr>
          <w:rFonts w:eastAsia="Times New Roman" w:cs="Calibri" w:cstheme="minorHAnsi"/>
          <w:color w:val="000000"/>
          <w:lang w:eastAsia="hu-HU"/>
        </w:rPr>
        <w:t>gazdaságinformatikus (Gyöngyös), alap, nappali</w:t>
      </w:r>
    </w:p>
    <w:p>
      <w:pPr>
        <w:pStyle w:val="ListParagraph"/>
        <w:numPr>
          <w:ilvl w:val="0"/>
          <w:numId w:val="1"/>
        </w:numPr>
        <w:spacing w:lineRule="auto" w:line="240" w:before="0" w:after="0"/>
        <w:contextualSpacing/>
        <w:jc w:val="both"/>
        <w:rPr>
          <w:rFonts w:eastAsia="Times New Roman" w:cs="Calibri" w:cstheme="minorHAnsi"/>
          <w:color w:val="000000"/>
          <w:lang w:eastAsia="hu-HU"/>
        </w:rPr>
      </w:pPr>
      <w:r>
        <w:rPr>
          <w:rFonts w:eastAsia="Times New Roman" w:cs="Calibri" w:cstheme="minorHAnsi"/>
          <w:color w:val="000000"/>
          <w:lang w:eastAsia="hu-HU"/>
        </w:rPr>
        <w:t>turizmus-vendéglátás [turizmus] (Gyöngyös), felsőoktatási szakképzés, levelező</w:t>
      </w:r>
    </w:p>
    <w:p>
      <w:pPr>
        <w:pStyle w:val="ListParagraph"/>
        <w:numPr>
          <w:ilvl w:val="0"/>
          <w:numId w:val="1"/>
        </w:numPr>
        <w:jc w:val="both"/>
        <w:rPr>
          <w:rFonts w:cs="Calibri" w:cstheme="minorHAnsi"/>
        </w:rPr>
      </w:pPr>
      <w:r>
        <w:rPr>
          <w:rFonts w:eastAsia="Times New Roman" w:cs="Calibri" w:cstheme="minorHAnsi"/>
          <w:color w:val="000000"/>
          <w:lang w:eastAsia="hu-HU"/>
        </w:rPr>
        <w:t>turizmus-vendéglátás [vendéglátás] (Gyöngyös), felsőoktatási szakképzés, levelező</w:t>
      </w:r>
    </w:p>
    <w:p>
      <w:pPr>
        <w:pStyle w:val="Normal"/>
        <w:jc w:val="both"/>
        <w:rPr/>
      </w:pPr>
      <w:r>
        <w:rPr/>
      </w:r>
    </w:p>
    <w:p>
      <w:pPr>
        <w:pStyle w:val="Normal"/>
        <w:jc w:val="both"/>
        <w:rPr/>
      </w:pPr>
      <w:r>
        <w:rPr/>
        <w:t>Az oktatás hatékonysága miatt érdemes szót ejteni azokról a szakokról, melyek meghirdetésre kerültek, jelentkeztek is a hallgatók, de az induló csoportok létszáma 10 fő alatti. Ez 26 szakot érint 2017 évben, ebből 13 szak gyöngyösi, 10 egri, 2 sárospataki és 1 jászberényi helyszínű.</w:t>
      </w:r>
    </w:p>
    <w:tbl>
      <w:tblPr>
        <w:tblW w:w="10196" w:type="dxa"/>
        <w:jc w:val="left"/>
        <w:tblInd w:w="-567"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60" w:type="dxa"/>
          <w:bottom w:w="0" w:type="dxa"/>
          <w:right w:w="70" w:type="dxa"/>
        </w:tblCellMar>
        <w:tblLook w:noVBand="1" w:val="04a0" w:noHBand="0" w:lastColumn="0" w:firstColumn="1" w:lastRow="0" w:firstRow="1"/>
      </w:tblPr>
      <w:tblGrid>
        <w:gridCol w:w="4667"/>
        <w:gridCol w:w="1134"/>
        <w:gridCol w:w="992"/>
        <w:gridCol w:w="1210"/>
        <w:gridCol w:w="1200"/>
        <w:gridCol w:w="992"/>
      </w:tblGrid>
      <w:tr>
        <w:trPr>
          <w:trHeight w:val="270" w:hRule="atLeast"/>
        </w:trPr>
        <w:tc>
          <w:tcPr>
            <w:tcW w:w="4667" w:type="dxa"/>
            <w:tcBorders>
              <w:top w:val="single" w:sz="8" w:space="0" w:color="969696"/>
              <w:left w:val="single" w:sz="8" w:space="0" w:color="969696"/>
              <w:bottom w:val="single" w:sz="8" w:space="0" w:color="969696"/>
              <w:right w:val="single" w:sz="8" w:space="0" w:color="969696"/>
            </w:tcBorders>
            <w:shd w:color="auto" w:fill="5B9BD5" w:themeFill="accent1" w:val="clear"/>
            <w:vAlign w:val="bottom"/>
          </w:tcPr>
          <w:p>
            <w:pPr>
              <w:pStyle w:val="Normal"/>
              <w:spacing w:lineRule="auto" w:line="240" w:before="0" w:after="0"/>
              <w:jc w:val="center"/>
              <w:rPr>
                <w:rFonts w:eastAsia="Times New Roman" w:cs="Calibri" w:cstheme="minorHAnsi"/>
                <w:b/>
                <w:b/>
                <w:color w:val="000000"/>
                <w:sz w:val="16"/>
                <w:szCs w:val="16"/>
                <w:lang w:eastAsia="hu-HU"/>
              </w:rPr>
            </w:pPr>
            <w:r>
              <w:rPr>
                <w:rFonts w:eastAsia="Times New Roman" w:cs="Calibri" w:cstheme="minorHAnsi"/>
                <w:b/>
                <w:color w:val="000000"/>
                <w:sz w:val="16"/>
                <w:szCs w:val="16"/>
                <w:lang w:eastAsia="hu-HU"/>
              </w:rPr>
              <w:t>Szak megnevezése</w:t>
            </w:r>
          </w:p>
          <w:p>
            <w:pPr>
              <w:pStyle w:val="Normal"/>
              <w:spacing w:lineRule="auto" w:line="240" w:before="0" w:after="0"/>
              <w:jc w:val="center"/>
              <w:rPr>
                <w:rFonts w:eastAsia="Times New Roman" w:cs="Calibri" w:cstheme="minorHAnsi"/>
                <w:b/>
                <w:b/>
                <w:color w:val="000000"/>
                <w:sz w:val="16"/>
                <w:szCs w:val="16"/>
                <w:lang w:eastAsia="hu-HU"/>
              </w:rPr>
            </w:pPr>
            <w:r>
              <w:rPr>
                <w:rFonts w:eastAsia="Times New Roman" w:cs="Calibri" w:cstheme="minorHAnsi"/>
                <w:b/>
                <w:color w:val="000000"/>
                <w:sz w:val="16"/>
                <w:szCs w:val="16"/>
                <w:lang w:eastAsia="hu-HU"/>
              </w:rPr>
            </w:r>
          </w:p>
        </w:tc>
        <w:tc>
          <w:tcPr>
            <w:tcW w:w="1134" w:type="dxa"/>
            <w:tcBorders>
              <w:top w:val="single" w:sz="8" w:space="0" w:color="969696"/>
              <w:bottom w:val="single" w:sz="8" w:space="0" w:color="969696"/>
              <w:right w:val="single" w:sz="8" w:space="0" w:color="969696"/>
            </w:tcBorders>
            <w:shd w:color="auto" w:fill="5B9BD5" w:themeFill="accent1" w:val="clear"/>
            <w:vAlign w:val="center"/>
          </w:tcPr>
          <w:p>
            <w:pPr>
              <w:pStyle w:val="Normal"/>
              <w:spacing w:lineRule="auto" w:line="240" w:before="0" w:after="0"/>
              <w:jc w:val="center"/>
              <w:rPr>
                <w:rFonts w:eastAsia="Times New Roman" w:cs="Calibri" w:cstheme="minorHAnsi"/>
                <w:b/>
                <w:b/>
                <w:color w:val="000000"/>
                <w:sz w:val="16"/>
                <w:szCs w:val="16"/>
                <w:lang w:eastAsia="hu-HU"/>
              </w:rPr>
            </w:pPr>
            <w:r>
              <w:rPr>
                <w:rFonts w:eastAsia="Times New Roman" w:cs="Calibri" w:cstheme="minorHAnsi"/>
                <w:b/>
                <w:color w:val="000000"/>
                <w:sz w:val="16"/>
                <w:szCs w:val="16"/>
                <w:lang w:eastAsia="hu-HU"/>
              </w:rPr>
              <w:t>Képzési forma</w:t>
            </w:r>
          </w:p>
        </w:tc>
        <w:tc>
          <w:tcPr>
            <w:tcW w:w="992" w:type="dxa"/>
            <w:tcBorders>
              <w:top w:val="single" w:sz="8" w:space="0" w:color="969696"/>
              <w:bottom w:val="single" w:sz="8" w:space="0" w:color="969696"/>
              <w:right w:val="single" w:sz="8" w:space="0" w:color="969696"/>
            </w:tcBorders>
            <w:shd w:color="auto" w:fill="5B9BD5" w:themeFill="accent1" w:val="clear"/>
            <w:vAlign w:val="center"/>
          </w:tcPr>
          <w:p>
            <w:pPr>
              <w:pStyle w:val="Normal"/>
              <w:spacing w:lineRule="auto" w:line="240" w:before="0" w:after="0"/>
              <w:jc w:val="center"/>
              <w:rPr>
                <w:rFonts w:eastAsia="Times New Roman" w:cs="Calibri" w:cstheme="minorHAnsi"/>
                <w:b/>
                <w:b/>
                <w:sz w:val="16"/>
                <w:szCs w:val="16"/>
                <w:lang w:eastAsia="hu-HU"/>
              </w:rPr>
            </w:pPr>
            <w:r>
              <w:rPr>
                <w:rFonts w:eastAsia="Times New Roman" w:cs="Calibri" w:cstheme="minorHAnsi"/>
                <w:b/>
                <w:sz w:val="16"/>
                <w:szCs w:val="16"/>
                <w:lang w:eastAsia="hu-HU"/>
              </w:rPr>
              <w:t>Képzési terület</w:t>
            </w:r>
          </w:p>
        </w:tc>
        <w:tc>
          <w:tcPr>
            <w:tcW w:w="1210" w:type="dxa"/>
            <w:tcBorders>
              <w:top w:val="single" w:sz="8" w:space="0" w:color="969696"/>
              <w:bottom w:val="single" w:sz="8" w:space="0" w:color="969696"/>
              <w:right w:val="single" w:sz="8" w:space="0" w:color="969696"/>
            </w:tcBorders>
            <w:shd w:color="auto" w:fill="5B9BD5" w:themeFill="accent1" w:val="clear"/>
            <w:vAlign w:val="center"/>
          </w:tcPr>
          <w:p>
            <w:pPr>
              <w:pStyle w:val="Normal"/>
              <w:spacing w:lineRule="auto" w:line="240" w:before="0" w:after="0"/>
              <w:jc w:val="center"/>
              <w:rPr>
                <w:rFonts w:eastAsia="Times New Roman" w:cs="Calibri" w:cstheme="minorHAnsi"/>
                <w:b/>
                <w:b/>
                <w:sz w:val="16"/>
                <w:szCs w:val="16"/>
                <w:lang w:eastAsia="hu-HU"/>
              </w:rPr>
            </w:pPr>
            <w:r>
              <w:rPr>
                <w:rFonts w:eastAsia="Times New Roman" w:cs="Calibri" w:cstheme="minorHAnsi"/>
                <w:b/>
                <w:sz w:val="16"/>
                <w:szCs w:val="16"/>
                <w:lang w:eastAsia="hu-HU"/>
              </w:rPr>
              <w:t>Jelentkezők száma (fő)</w:t>
            </w:r>
          </w:p>
        </w:tc>
        <w:tc>
          <w:tcPr>
            <w:tcW w:w="1200" w:type="dxa"/>
            <w:tcBorders>
              <w:top w:val="single" w:sz="8" w:space="0" w:color="969696"/>
              <w:bottom w:val="single" w:sz="8" w:space="0" w:color="969696"/>
              <w:right w:val="single" w:sz="8" w:space="0" w:color="969696"/>
            </w:tcBorders>
            <w:shd w:color="auto" w:fill="5B9BD5" w:themeFill="accent1" w:val="clear"/>
            <w:vAlign w:val="center"/>
          </w:tcPr>
          <w:p>
            <w:pPr>
              <w:pStyle w:val="Normal"/>
              <w:spacing w:lineRule="auto" w:line="240" w:before="0" w:after="0"/>
              <w:jc w:val="center"/>
              <w:rPr>
                <w:rFonts w:eastAsia="Times New Roman" w:cs="Calibri" w:cstheme="minorHAnsi"/>
                <w:b/>
                <w:b/>
                <w:sz w:val="16"/>
                <w:szCs w:val="16"/>
                <w:lang w:eastAsia="hu-HU"/>
              </w:rPr>
            </w:pPr>
            <w:r>
              <w:rPr>
                <w:rFonts w:eastAsia="Times New Roman" w:cs="Calibri" w:cstheme="minorHAnsi"/>
                <w:b/>
                <w:sz w:val="16"/>
                <w:szCs w:val="16"/>
                <w:lang w:eastAsia="hu-HU"/>
              </w:rPr>
              <w:t>Első helyes jelentkezők száma fő)</w:t>
            </w:r>
          </w:p>
        </w:tc>
        <w:tc>
          <w:tcPr>
            <w:tcW w:w="992" w:type="dxa"/>
            <w:tcBorders>
              <w:top w:val="single" w:sz="8" w:space="0" w:color="969696"/>
              <w:bottom w:val="single" w:sz="8" w:space="0" w:color="969696"/>
              <w:right w:val="single" w:sz="8" w:space="0" w:color="969696"/>
            </w:tcBorders>
            <w:shd w:color="auto" w:fill="5B9BD5" w:themeFill="accent1" w:val="clear"/>
            <w:vAlign w:val="center"/>
          </w:tcPr>
          <w:p>
            <w:pPr>
              <w:pStyle w:val="Normal"/>
              <w:spacing w:lineRule="auto" w:line="240" w:before="0" w:after="0"/>
              <w:jc w:val="center"/>
              <w:rPr>
                <w:rFonts w:eastAsia="Times New Roman" w:cs="Calibri" w:cstheme="minorHAnsi"/>
                <w:b/>
                <w:b/>
                <w:sz w:val="16"/>
                <w:szCs w:val="16"/>
                <w:lang w:eastAsia="hu-HU"/>
              </w:rPr>
            </w:pPr>
            <w:r>
              <w:rPr>
                <w:rFonts w:eastAsia="Times New Roman" w:cs="Calibri" w:cstheme="minorHAnsi"/>
                <w:b/>
                <w:sz w:val="16"/>
                <w:szCs w:val="16"/>
                <w:lang w:eastAsia="hu-HU"/>
              </w:rPr>
              <w:t>Felvettek száma (fő)</w:t>
            </w:r>
          </w:p>
        </w:tc>
      </w:tr>
      <w:tr>
        <w:trPr>
          <w:trHeight w:val="270" w:hRule="atLeast"/>
        </w:trPr>
        <w:tc>
          <w:tcPr>
            <w:tcW w:w="4667" w:type="dxa"/>
            <w:tcBorders>
              <w:top w:val="single" w:sz="8" w:space="0" w:color="969696"/>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gazdaságinformatikus (Gyöngyös)</w:t>
            </w:r>
          </w:p>
        </w:tc>
        <w:tc>
          <w:tcPr>
            <w:tcW w:w="1134" w:type="dxa"/>
            <w:tcBorders>
              <w:top w:val="single" w:sz="8" w:space="0" w:color="969696"/>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AN</w:t>
            </w:r>
          </w:p>
        </w:tc>
        <w:tc>
          <w:tcPr>
            <w:tcW w:w="992" w:type="dxa"/>
            <w:tcBorders>
              <w:top w:val="single" w:sz="8" w:space="0" w:color="969696"/>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INFO</w:t>
            </w:r>
          </w:p>
        </w:tc>
        <w:tc>
          <w:tcPr>
            <w:tcW w:w="1210" w:type="dxa"/>
            <w:tcBorders>
              <w:top w:val="single" w:sz="8" w:space="0" w:color="969696"/>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48</w:t>
            </w:r>
          </w:p>
        </w:tc>
        <w:tc>
          <w:tcPr>
            <w:tcW w:w="1200" w:type="dxa"/>
            <w:tcBorders>
              <w:top w:val="single" w:sz="8" w:space="0" w:color="969696"/>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11</w:t>
            </w:r>
          </w:p>
        </w:tc>
        <w:tc>
          <w:tcPr>
            <w:tcW w:w="992" w:type="dxa"/>
            <w:tcBorders>
              <w:top w:val="single" w:sz="8" w:space="0" w:color="969696"/>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szociálpedagógia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TÁRS</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48</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turizmus-vendéglátás (magyar nyelven)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33</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5</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gazdálkodási és menedzsment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32</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5</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kereskedelem és marketing [marketingkommunikáció]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22</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pénzügy és számvitel [pénzintézeti]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27</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pénzügy és számvitel [vállalkozási]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33</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turizmus-vendéglátás [turizmus] (Sárospatak)</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15</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gazdálkodási és menedzsment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92</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gazdálkodási és menedzsment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69</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19</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gazdaságinformatikus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INFO</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33</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kereskedelem és marketing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69</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16</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pénzügy és számvitel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63</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szociális munka (Jászberény)</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TÁRS</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39</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5</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szociálpedagógia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TÁRS</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61</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21</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turizmus-vendéglátás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AL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48</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12</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osztatlan tanári [10 félév [közgazdásztanár [vállalkozási ismeretek]]]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OL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PED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10</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gazdaságinformatikus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INFO</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32</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pénzügy és számvitel [pénzintézeti]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22</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turizmus-vendéglátás [turizmus] (Sárospatak)</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19</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9</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turizmus-vendéglátás [vendéglátás]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FL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21</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5</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turizmus-menedzsment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MN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vállalkozásfejlesztés (Eger)</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MN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10</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3</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vezetés és szervezés (magyar nyelven)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MN</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7</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turizmus-menedzsment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ML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6</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4</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w:t>
            </w:r>
          </w:p>
        </w:tc>
      </w:tr>
      <w:tr>
        <w:trPr>
          <w:trHeight w:val="270" w:hRule="atLeast"/>
        </w:trPr>
        <w:tc>
          <w:tcPr>
            <w:tcW w:w="4667" w:type="dxa"/>
            <w:tcBorders>
              <w:left w:val="single" w:sz="8" w:space="0" w:color="969696"/>
              <w:bottom w:val="single" w:sz="8" w:space="0" w:color="969696"/>
              <w:right w:val="single" w:sz="8" w:space="0" w:color="969696"/>
            </w:tcBorders>
            <w:shd w:color="auto" w:fill="FFE599" w:themeFill="accent4" w:themeFillTint="66" w:val="clear"/>
            <w:vAlign w:val="bottom"/>
          </w:tcPr>
          <w:p>
            <w:pPr>
              <w:pStyle w:val="Normal"/>
              <w:spacing w:lineRule="auto" w:line="240" w:before="0" w:after="0"/>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vállalkozásfejlesztés (Gyöngyös)</w:t>
            </w:r>
          </w:p>
        </w:tc>
        <w:tc>
          <w:tcPr>
            <w:tcW w:w="1134"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color w:val="000000"/>
                <w:sz w:val="16"/>
                <w:szCs w:val="16"/>
                <w:lang w:eastAsia="hu-HU"/>
              </w:rPr>
            </w:pPr>
            <w:r>
              <w:rPr>
                <w:rFonts w:eastAsia="Times New Roman" w:cs="Calibri" w:cstheme="minorHAnsi"/>
                <w:color w:val="000000"/>
                <w:sz w:val="16"/>
                <w:szCs w:val="16"/>
                <w:lang w:eastAsia="hu-HU"/>
              </w:rPr>
              <w:t>ML</w:t>
            </w:r>
          </w:p>
        </w:tc>
        <w:tc>
          <w:tcPr>
            <w:tcW w:w="992"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GAZD</w:t>
            </w:r>
          </w:p>
        </w:tc>
        <w:tc>
          <w:tcPr>
            <w:tcW w:w="1210" w:type="dxa"/>
            <w:tcBorders>
              <w:bottom w:val="single" w:sz="8" w:space="0" w:color="969696"/>
              <w:right w:val="single" w:sz="8" w:space="0" w:color="969696"/>
            </w:tcBorders>
            <w:shd w:color="000000" w:fill="D9D9D9"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20</w:t>
            </w:r>
          </w:p>
        </w:tc>
        <w:tc>
          <w:tcPr>
            <w:tcW w:w="1200" w:type="dxa"/>
            <w:tcBorders>
              <w:bottom w:val="single" w:sz="8" w:space="0" w:color="969696"/>
              <w:right w:val="single" w:sz="8" w:space="0" w:color="969696"/>
            </w:tcBorders>
            <w:shd w:color="000000" w:fill="F2DCDB"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8</w:t>
            </w:r>
          </w:p>
        </w:tc>
        <w:tc>
          <w:tcPr>
            <w:tcW w:w="992" w:type="dxa"/>
            <w:tcBorders>
              <w:bottom w:val="single" w:sz="8" w:space="0" w:color="969696"/>
              <w:right w:val="single" w:sz="8" w:space="0" w:color="969696"/>
            </w:tcBorders>
            <w:shd w:color="000000" w:fill="EBF1DE" w:val="clear"/>
            <w:vAlign w:val="center"/>
          </w:tcPr>
          <w:p>
            <w:pPr>
              <w:pStyle w:val="Normal"/>
              <w:spacing w:lineRule="auto" w:line="240" w:before="0" w:after="0"/>
              <w:jc w:val="center"/>
              <w:rPr>
                <w:rFonts w:eastAsia="Times New Roman" w:cs="Calibri" w:cstheme="minorHAnsi"/>
                <w:sz w:val="16"/>
                <w:szCs w:val="16"/>
                <w:lang w:eastAsia="hu-HU"/>
              </w:rPr>
            </w:pPr>
            <w:r>
              <w:rPr>
                <w:rFonts w:eastAsia="Times New Roman" w:cs="Calibri" w:cstheme="minorHAnsi"/>
                <w:sz w:val="16"/>
                <w:szCs w:val="16"/>
                <w:lang w:eastAsia="hu-HU"/>
              </w:rPr>
              <w:t>5</w:t>
            </w:r>
          </w:p>
        </w:tc>
      </w:tr>
    </w:tbl>
    <w:p>
      <w:pPr>
        <w:pStyle w:val="Normal"/>
        <w:rPr>
          <w:b/>
          <w:b/>
        </w:rPr>
      </w:pPr>
      <w:r>
        <w:rPr>
          <w:b/>
        </w:rPr>
      </w:r>
    </w:p>
    <w:p>
      <w:pPr>
        <w:pStyle w:val="Normal"/>
        <w:rPr>
          <w:b/>
          <w:b/>
        </w:rPr>
      </w:pPr>
      <w:r>
        <w:rPr>
          <w:b/>
        </w:rPr>
      </w:r>
      <w:r>
        <w:br w:type="page"/>
      </w:r>
    </w:p>
    <w:p>
      <w:pPr>
        <w:pStyle w:val="Heading2"/>
        <w:rPr>
          <w:b/>
          <w:b/>
          <w:sz w:val="32"/>
          <w:szCs w:val="32"/>
        </w:rPr>
      </w:pPr>
      <w:bookmarkStart w:id="13" w:name="_Toc4068118"/>
      <w:r>
        <w:rPr>
          <w:b/>
          <w:sz w:val="32"/>
          <w:szCs w:val="32"/>
        </w:rPr>
        <w:t>Pedagógiai Kar</w:t>
      </w:r>
      <w:bookmarkEnd w:id="13"/>
    </w:p>
    <w:p>
      <w:pPr>
        <w:pStyle w:val="Normal"/>
        <w:rPr/>
      </w:pPr>
      <w:r>
        <w:rPr/>
      </w:r>
    </w:p>
    <w:p>
      <w:pPr>
        <w:pStyle w:val="Normal"/>
        <w:jc w:val="both"/>
        <w:rPr/>
      </w:pPr>
      <w:r>
        <w:rPr/>
        <w:t>A kar 3 képzési helyszínen (Eger, Sárospatak, Jászberény), 4 képzési területen (Pedagógia, Bölcsészettudomány, Társadalomtudomány, Művészet), 47 szakot hirdetett meg, alap, mester, osztatlan tanár és FOSZ képzések keretében nappali és levelező tagozaton egyaránt. Az osztatlan tanárszakok száma 6, a többi képzési formához 41 meghirdetett szak tartozik.</w:t>
      </w:r>
    </w:p>
    <w:p>
      <w:pPr>
        <w:pStyle w:val="Normal"/>
        <w:jc w:val="both"/>
        <w:rPr/>
      </w:pPr>
      <w:r>
        <w:rPr/>
        <w:drawing>
          <wp:inline distT="0" distB="0" distL="0" distR="0">
            <wp:extent cx="5915025" cy="3276600"/>
            <wp:effectExtent l="0" t="0" r="0" b="0"/>
            <wp:docPr id="1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Normal"/>
        <w:jc w:val="both"/>
        <w:rPr/>
      </w:pPr>
      <w:r>
        <w:rPr/>
      </w:r>
    </w:p>
    <w:p>
      <w:pPr>
        <w:pStyle w:val="Normal"/>
        <w:jc w:val="both"/>
        <w:rPr/>
      </w:pPr>
      <w:r>
        <w:rPr/>
        <w:t>Összes jelentkezői létszám 2015-18 között: 2295, 3498, 3264, 3848 fő</w:t>
      </w:r>
    </w:p>
    <w:p>
      <w:pPr>
        <w:pStyle w:val="Normal"/>
        <w:jc w:val="both"/>
        <w:rPr/>
      </w:pPr>
      <w:r>
        <w:rPr/>
        <w:t>Összes felvett hallgatói létszám 2015-18 között: 325, 559, 512, 659 fő</w:t>
      </w:r>
    </w:p>
    <w:p>
      <w:pPr>
        <w:pStyle w:val="Normal"/>
        <w:jc w:val="both"/>
        <w:rPr/>
      </w:pPr>
      <w:r>
        <w:rPr/>
        <w:t>Összes első helyes jelentkező száma 2015-18 között folyamatos növekedést mutat: 705, 963, 1021 fő.</w:t>
      </w:r>
    </w:p>
    <w:p>
      <w:pPr>
        <w:pStyle w:val="Normal"/>
        <w:jc w:val="both"/>
        <w:rPr/>
      </w:pPr>
      <w:r>
        <w:rPr/>
        <w:t>Alapképzésre jelentkezettek száma (2018-ban): összesen 3476 fő, ebből nappali 1308, levelező 2168 fő.</w:t>
      </w:r>
    </w:p>
    <w:p>
      <w:pPr>
        <w:pStyle w:val="Normal"/>
        <w:jc w:val="both"/>
        <w:rPr/>
      </w:pPr>
      <w:r>
        <w:rPr/>
        <w:t>Mesterképzésre jelentkezettek száma (2018-ban): összesen 86 fő, ebből nappali 7, levelező 79 fő.</w:t>
      </w:r>
    </w:p>
    <w:p>
      <w:pPr>
        <w:pStyle w:val="Normal"/>
        <w:jc w:val="both"/>
        <w:rPr/>
      </w:pPr>
      <w:r>
        <w:rPr/>
        <w:t xml:space="preserve">Osztatlan tanárképzésre jelentkezettek száma (2018-ban): összesen 277 fő, ebből nappali 137, </w:t>
        <w:br/>
        <w:t>levelező 140 fő.</w:t>
      </w:r>
    </w:p>
    <w:p>
      <w:pPr>
        <w:pStyle w:val="Normal"/>
        <w:spacing w:before="0" w:after="0"/>
        <w:jc w:val="both"/>
        <w:rPr/>
      </w:pPr>
      <w:r>
        <w:rPr/>
        <w:t xml:space="preserve">Alapképzésre </w:t>
      </w:r>
      <w:r>
        <w:rPr>
          <w:i/>
        </w:rPr>
        <w:t xml:space="preserve">felvettek </w:t>
      </w:r>
      <w:r>
        <w:rPr/>
        <w:t>száma (2018-ban): összesen 592 fő, ebből nappali 200, levelező 392 fő.</w:t>
      </w:r>
    </w:p>
    <w:p>
      <w:pPr>
        <w:pStyle w:val="Normal"/>
        <w:spacing w:before="0" w:after="0"/>
        <w:jc w:val="both"/>
        <w:rPr/>
      </w:pPr>
      <w:r>
        <w:rPr/>
        <w:t xml:space="preserve">Mesterképzésre </w:t>
      </w:r>
      <w:r>
        <w:rPr>
          <w:i/>
        </w:rPr>
        <w:t>felvettek</w:t>
      </w:r>
      <w:r>
        <w:rPr/>
        <w:t xml:space="preserve"> száma (2018-ban): összesen 20 fő, ebből nappali 4, levelező 16 fő.</w:t>
      </w:r>
    </w:p>
    <w:p>
      <w:pPr>
        <w:pStyle w:val="Normal"/>
        <w:spacing w:before="0" w:after="0"/>
        <w:jc w:val="both"/>
        <w:rPr/>
      </w:pPr>
      <w:r>
        <w:rPr/>
        <w:t xml:space="preserve">Osztatlan képzésre </w:t>
      </w:r>
      <w:r>
        <w:rPr>
          <w:i/>
        </w:rPr>
        <w:t>felvettek</w:t>
      </w:r>
      <w:r>
        <w:rPr/>
        <w:t xml:space="preserve"> száma (2018-ban): összesen 47 fő, ebből nappali 30, levelező 17 fő.</w:t>
      </w:r>
    </w:p>
    <w:p>
      <w:pPr>
        <w:pStyle w:val="Normal"/>
        <w:jc w:val="both"/>
        <w:rPr/>
      </w:pPr>
      <w:r>
        <w:rPr/>
      </w:r>
    </w:p>
    <w:p>
      <w:pPr>
        <w:pStyle w:val="Normal"/>
        <w:jc w:val="both"/>
        <w:rPr/>
      </w:pPr>
      <w:r>
        <w:rPr/>
        <w:drawing>
          <wp:inline distT="0" distB="0" distL="0" distR="0">
            <wp:extent cx="5838825" cy="3848100"/>
            <wp:effectExtent l="0" t="0" r="0" b="0"/>
            <wp:docPr id="2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Normal"/>
        <w:jc w:val="both"/>
        <w:rPr/>
      </w:pPr>
      <w:r>
        <w:rPr/>
        <w:t>Nappali tagozat összesen (2018): 1452 fő, mely az összejelentkezői létszám 38%-a.</w:t>
      </w:r>
    </w:p>
    <w:p>
      <w:pPr>
        <w:pStyle w:val="Normal"/>
        <w:jc w:val="both"/>
        <w:rPr/>
      </w:pPr>
      <w:r>
        <w:rPr/>
        <w:t>Levelező tagozat összesen (2018): 2387 fő, az összjelentkezői létszám 62%-a.</w:t>
      </w:r>
    </w:p>
    <w:p>
      <w:pPr>
        <w:pStyle w:val="Normal"/>
        <w:jc w:val="both"/>
        <w:rPr/>
      </w:pPr>
      <w:r>
        <w:rPr/>
        <w:t xml:space="preserve">A levelezőtagozat választása növekvő tendenciát mutat 2015-18 között 51-ről, 62%-ra emelkedett, ennek megfelelően csökkent a nappalisok aránya 10%-kal csökkent 2018-ra. </w:t>
      </w:r>
    </w:p>
    <w:p>
      <w:pPr>
        <w:pStyle w:val="Normal"/>
        <w:jc w:val="both"/>
        <w:rPr/>
      </w:pPr>
      <w:r>
        <w:rPr/>
        <w:drawing>
          <wp:inline distT="0" distB="0" distL="0" distR="0">
            <wp:extent cx="5924550" cy="2371725"/>
            <wp:effectExtent l="0" t="0" r="0" b="0"/>
            <wp:docPr id="2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Normal"/>
        <w:jc w:val="both"/>
        <w:rPr/>
      </w:pPr>
      <w:r>
        <w:rPr/>
        <w:t>A képzési szint választásnál kiemelkedő az alapszak választása 90%-os 2018-ban, mely 2%-os csökkenést mutat a 2015-ös adatokhoz képest. Növekedett az osztatlan tanárszakot választók aránya 2%-kal. A mester szak átlagos 3%-on áll évről, évre.</w:t>
      </w:r>
    </w:p>
    <w:p>
      <w:pPr>
        <w:pStyle w:val="Normal"/>
        <w:jc w:val="both"/>
        <w:rPr/>
      </w:pPr>
      <w:r>
        <w:rPr/>
        <w:t>2018-ban a legtöbb jelentkezőt az újonnan meghirdetett gyógypedagógia szak levelező tagozat vonzotta, melyre 503 fős jelentkezői létszám volt (174 első helyes), mely az intézmény legmagasabb eddigi jelentkezői létszámát is jelenti egyben. A második legkedveltebb szak a jelentkezési kedvet illetően az egri óvodapedagógus alap, levelező képzés 265 jelentkezett fiatallal, harmadik a gyógypedagógia nappali párja 248 jelentkezővel és a negyedik a szintén egri csecsemő- és kisgyermeknevelő alap, levelező szak 247 fővel.</w:t>
      </w:r>
    </w:p>
    <w:p>
      <w:pPr>
        <w:pStyle w:val="Normal"/>
        <w:jc w:val="both"/>
        <w:rPr/>
      </w:pPr>
      <w:r>
        <w:rPr/>
        <w:t>A legtöbb felvett hallgatót 2017-ben 54 fős az alap, levelező tagozatú egri óvodapedagógus képzés, 51 fős a nappali szak, 38 fős a sárospataki alap, levelező óvodapedagógus szak (ide a jelentkezők száma 197 fő volt).</w:t>
      </w:r>
    </w:p>
    <w:p>
      <w:pPr>
        <w:pStyle w:val="Normal"/>
        <w:jc w:val="both"/>
        <w:rPr/>
      </w:pPr>
      <w:r>
        <w:rPr/>
        <w:t>A meghirdetett szakok 28 %-a (12 szak) nem indult vagy az alacsony jelentkezői számnak, vagy a felvételi követelmények nem teljesülése miatt.</w:t>
      </w:r>
    </w:p>
    <w:p>
      <w:pPr>
        <w:pStyle w:val="Normal"/>
        <w:jc w:val="both"/>
        <w:rPr/>
      </w:pPr>
      <w:r>
        <w:rPr/>
        <w:t>Az előző évek alacsony jelentkezői létszámának köszönhetően 2017-ben már nem meghirdetett szakok:</w:t>
      </w:r>
    </w:p>
    <w:p>
      <w:pPr>
        <w:pStyle w:val="ListParagraph"/>
        <w:numPr>
          <w:ilvl w:val="0"/>
          <w:numId w:val="1"/>
        </w:numPr>
        <w:jc w:val="both"/>
        <w:rPr/>
      </w:pPr>
      <w:r>
        <w:rPr/>
        <w:t>informatikus könyvtáros (Jászberény), alap, nappali képzés,</w:t>
      </w:r>
    </w:p>
    <w:p>
      <w:pPr>
        <w:pStyle w:val="ListParagraph"/>
        <w:numPr>
          <w:ilvl w:val="0"/>
          <w:numId w:val="1"/>
        </w:numPr>
        <w:jc w:val="both"/>
        <w:rPr/>
      </w:pPr>
      <w:r>
        <w:rPr/>
        <w:t>informatikus könyvtáros (Jászberény), alap, levelező képzés,</w:t>
      </w:r>
    </w:p>
    <w:p>
      <w:pPr>
        <w:pStyle w:val="ListParagraph"/>
        <w:numPr>
          <w:ilvl w:val="0"/>
          <w:numId w:val="1"/>
        </w:numPr>
        <w:jc w:val="both"/>
        <w:rPr/>
      </w:pPr>
      <w:r>
        <w:rPr/>
        <w:t>televíziós műsorkészítő (Sárospatak), FOSZ, nappali képzés,</w:t>
      </w:r>
    </w:p>
    <w:p>
      <w:pPr>
        <w:pStyle w:val="ListParagraph"/>
        <w:numPr>
          <w:ilvl w:val="0"/>
          <w:numId w:val="1"/>
        </w:numPr>
        <w:jc w:val="both"/>
        <w:rPr/>
      </w:pPr>
      <w:r>
        <w:rPr/>
        <w:t>televíziós műsorkészítő (Sárospatak), FOSZ, levelező képzés.</w:t>
      </w:r>
    </w:p>
    <w:p>
      <w:pPr>
        <w:pStyle w:val="Normal"/>
        <w:jc w:val="both"/>
        <w:rPr/>
      </w:pPr>
      <w:r>
        <w:rPr/>
        <w:t>A 2017-es évre meghirdetett, de a felvételi követelmények nem teljesülése miatt nem indított képzések:</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csecsemő- és kisgyermeknevelő (Jászberény), </w:t>
      </w:r>
      <w:r>
        <w:rPr>
          <w:rFonts w:cs="Calibri" w:cstheme="minorHAnsi"/>
        </w:rPr>
        <w:t>alap, nappali képzés,</w:t>
      </w:r>
      <w:r>
        <w:rPr>
          <w:rFonts w:eastAsia="Times New Roman" w:cs="Calibri" w:cstheme="minorHAnsi"/>
          <w:color w:val="000000"/>
          <w:lang w:eastAsia="hu-HU"/>
        </w:rPr>
        <w:t xml:space="preserve"> jelentkező 50 fő,</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csecsemő- és kisgyermeknevelő (Sárospatak), </w:t>
      </w:r>
      <w:r>
        <w:rPr>
          <w:rFonts w:cs="Calibri" w:cstheme="minorHAnsi"/>
        </w:rPr>
        <w:t>alap, nappali képzés, jelentkező 53 fő,</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informatikus könyvtáros (Eger), </w:t>
      </w:r>
      <w:r>
        <w:rPr>
          <w:rFonts w:cs="Calibri" w:cstheme="minorHAnsi"/>
        </w:rPr>
        <w:t>alap, nappali képzés, jelentkező 20 fő,</w:t>
      </w:r>
    </w:p>
    <w:p>
      <w:pPr>
        <w:pStyle w:val="ListParagraph"/>
        <w:numPr>
          <w:ilvl w:val="0"/>
          <w:numId w:val="1"/>
        </w:numPr>
        <w:jc w:val="both"/>
        <w:rPr>
          <w:rFonts w:cs="Calibri" w:cstheme="minorHAnsi"/>
        </w:rPr>
      </w:pPr>
      <w:r>
        <w:rPr>
          <w:rFonts w:cs="Calibri" w:cstheme="minorHAnsi"/>
        </w:rPr>
        <w:t>közösségszervezés [humánfejlesztés] (Jászberény) alap, nappali képzés, jelentkező 10 fő,</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közösségszervezés [kulturális közösségszervezés] (Jászberény), </w:t>
      </w:r>
      <w:r>
        <w:rPr>
          <w:rFonts w:cs="Calibri" w:cstheme="minorHAnsi"/>
        </w:rPr>
        <w:t>alap, nappali képzés, jelentkező 14 fő,</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közösségszervezés [humánfejlesztés] (Eger), </w:t>
      </w:r>
      <w:r>
        <w:rPr>
          <w:rFonts w:cs="Calibri" w:cstheme="minorHAnsi"/>
        </w:rPr>
        <w:t>alap, levelező képzés, jelentkező 21 fő,</w:t>
      </w:r>
    </w:p>
    <w:p>
      <w:pPr>
        <w:pStyle w:val="ListParagraph"/>
        <w:numPr>
          <w:ilvl w:val="0"/>
          <w:numId w:val="1"/>
        </w:numPr>
        <w:jc w:val="both"/>
        <w:rPr>
          <w:rFonts w:cs="Calibri" w:cstheme="minorHAnsi"/>
        </w:rPr>
      </w:pPr>
      <w:r>
        <w:rPr>
          <w:rFonts w:cs="Calibri" w:cstheme="minorHAnsi"/>
        </w:rPr>
        <w:t xml:space="preserve">közösségszervezés [humánfejlesztés] (Jászberény), alap, levelező képzés, </w:t>
        <w:br/>
        <w:t>jelentkező 28 fő,</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közösségszervezés [kulturális közösségszervezés] (Eger), </w:t>
      </w:r>
      <w:r>
        <w:rPr>
          <w:rFonts w:cs="Calibri" w:cstheme="minorHAnsi"/>
        </w:rPr>
        <w:t xml:space="preserve">alap, levelező képzés, </w:t>
        <w:br/>
        <w:t>jelentkező 30 fő.</w:t>
      </w:r>
    </w:p>
    <w:p>
      <w:pPr>
        <w:pStyle w:val="Normal"/>
        <w:jc w:val="both"/>
        <w:rPr>
          <w:rFonts w:cs="Calibri" w:cstheme="minorHAnsi"/>
        </w:rPr>
      </w:pPr>
      <w:r>
        <w:rPr>
          <w:rFonts w:cs="Calibri" w:cstheme="minorHAnsi"/>
        </w:rPr>
        <w:t xml:space="preserve">A legkisebb érdeklődés az Egerben indítandó </w:t>
      </w:r>
      <w:r>
        <w:rPr>
          <w:rFonts w:eastAsia="Times New Roman" w:cs="Calibri" w:cstheme="minorHAnsi"/>
          <w:color w:val="000000"/>
          <w:lang w:eastAsia="hu-HU"/>
        </w:rPr>
        <w:t>könyvtártudomány mesterszak, nappali tagozatára volt, 1 jelentkezővel, nem indult a képzés.</w:t>
      </w:r>
    </w:p>
    <w:p>
      <w:pPr>
        <w:pStyle w:val="Normal"/>
        <w:jc w:val="both"/>
        <w:rPr/>
      </w:pPr>
      <w:r>
        <w:rPr/>
        <w:t>A kar 10 fő alatti csoporttal induló szakjai, mely a kar indított szakjainak 38%-át érinti:</w:t>
      </w:r>
    </w:p>
    <w:tbl>
      <w:tblPr>
        <w:tblW w:w="7929" w:type="dxa"/>
        <w:jc w:val="left"/>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60" w:type="dxa"/>
          <w:bottom w:w="0" w:type="dxa"/>
          <w:right w:w="70" w:type="dxa"/>
        </w:tblCellMar>
        <w:tblLook w:noVBand="1" w:val="04a0" w:noHBand="0" w:lastColumn="0" w:firstColumn="1" w:lastRow="0" w:firstRow="1"/>
      </w:tblPr>
      <w:tblGrid>
        <w:gridCol w:w="5376"/>
        <w:gridCol w:w="1276"/>
        <w:gridCol w:w="1277"/>
      </w:tblGrid>
      <w:tr>
        <w:trPr>
          <w:trHeight w:val="270" w:hRule="atLeast"/>
        </w:trPr>
        <w:tc>
          <w:tcPr>
            <w:tcW w:w="5376"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Szak megnevezése</w:t>
            </w:r>
          </w:p>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r>
          </w:p>
        </w:tc>
        <w:tc>
          <w:tcPr>
            <w:tcW w:w="1276" w:type="dxa"/>
            <w:tcBorders>
              <w:top w:val="single" w:sz="8" w:space="0" w:color="969696"/>
              <w:bottom w:val="single" w:sz="8" w:space="0" w:color="969696"/>
              <w:right w:val="single" w:sz="8" w:space="0" w:color="969696"/>
            </w:tcBorders>
            <w:shd w:color="000000" w:fill="DCE6F1" w:val="clear"/>
            <w:vAlign w:val="cente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Képzési forma</w:t>
            </w:r>
          </w:p>
        </w:tc>
        <w:tc>
          <w:tcPr>
            <w:tcW w:w="1277" w:type="dxa"/>
            <w:tcBorders>
              <w:top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Csoport létszám</w:t>
            </w:r>
          </w:p>
        </w:tc>
      </w:tr>
      <w:tr>
        <w:trPr>
          <w:trHeight w:val="270" w:hRule="atLeast"/>
        </w:trPr>
        <w:tc>
          <w:tcPr>
            <w:tcW w:w="5376"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közösségszervezés [kulturális közösségszervezés] (Eger)</w:t>
            </w:r>
          </w:p>
        </w:tc>
        <w:tc>
          <w:tcPr>
            <w:tcW w:w="1276" w:type="dxa"/>
            <w:tcBorders>
              <w:top w:val="single" w:sz="8" w:space="0" w:color="969696"/>
              <w:bottom w:val="single" w:sz="8" w:space="0" w:color="969696"/>
              <w:right w:val="single" w:sz="8" w:space="0" w:color="969696"/>
            </w:tcBorders>
            <w:shd w:color="000000" w:fill="DCE6F1"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1277" w:type="dxa"/>
            <w:tcBorders>
              <w:top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9</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neveléstudomány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ML</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9</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informatikus könyvtáros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8</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könyvtártudomány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ML</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7</w:t>
            </w:r>
          </w:p>
        </w:tc>
      </w:tr>
      <w:tr>
        <w:trPr>
          <w:trHeight w:val="270" w:hRule="atLeast"/>
        </w:trPr>
        <w:tc>
          <w:tcPr>
            <w:tcW w:w="5376"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közösségszervezés [humánfejlesztés] (Eger)</w:t>
            </w:r>
          </w:p>
        </w:tc>
        <w:tc>
          <w:tcPr>
            <w:tcW w:w="1276"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1277" w:type="dxa"/>
            <w:tcBorders>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6</w:t>
            </w:r>
          </w:p>
        </w:tc>
      </w:tr>
      <w:tr>
        <w:trPr>
          <w:trHeight w:val="270" w:hRule="atLeast"/>
        </w:trPr>
        <w:tc>
          <w:tcPr>
            <w:tcW w:w="5376"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tanító (Sárospatak)</w:t>
            </w:r>
          </w:p>
        </w:tc>
        <w:tc>
          <w:tcPr>
            <w:tcW w:w="1276" w:type="dxa"/>
            <w:tcBorders>
              <w:bottom w:val="single" w:sz="8" w:space="0" w:color="969696"/>
              <w:right w:val="single" w:sz="8" w:space="0" w:color="969696"/>
            </w:tcBorders>
            <w:shd w:color="000000" w:fill="DCE6F1"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1277" w:type="dxa"/>
            <w:tcBorders>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6</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pedagógia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5</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közösségszervezés [kulturális közösségszervezés] (Jászberény)</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5</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informatikus könyvtáros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AT</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5</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média-, mozgókép- és kommunikációtanár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OL</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4</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könyvtárostanár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ON</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3</w:t>
            </w:r>
          </w:p>
        </w:tc>
      </w:tr>
      <w:tr>
        <w:trPr>
          <w:trHeight w:val="270" w:hRule="atLeast"/>
        </w:trPr>
        <w:tc>
          <w:tcPr>
            <w:tcW w:w="5376" w:type="dxa"/>
            <w:tcBorders>
              <w:left w:val="single" w:sz="8" w:space="0" w:color="969696"/>
              <w:bottom w:val="single" w:sz="8" w:space="0" w:color="969696"/>
              <w:right w:val="single" w:sz="8" w:space="0" w:color="969696"/>
            </w:tcBorders>
            <w:shd w:color="auto" w:fill="DEEAF6" w:themeFill="accent1" w:themeFillTint="33"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neveléstudomány (Eger)</w:t>
            </w:r>
          </w:p>
        </w:tc>
        <w:tc>
          <w:tcPr>
            <w:tcW w:w="1276" w:type="dxa"/>
            <w:tcBorders>
              <w:bottom w:val="single" w:sz="8" w:space="0" w:color="969696"/>
              <w:right w:val="single" w:sz="8" w:space="0" w:color="969696"/>
            </w:tcBorders>
            <w:shd w:color="auto" w:fill="DEEAF6" w:themeFill="accent1" w:themeFillTint="33" w:val="clear"/>
            <w:vAlign w:val="cente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MN</w:t>
            </w:r>
          </w:p>
        </w:tc>
        <w:tc>
          <w:tcPr>
            <w:tcW w:w="1277" w:type="dxa"/>
            <w:tcBorders>
              <w:bottom w:val="single" w:sz="8" w:space="0" w:color="969696"/>
              <w:right w:val="single" w:sz="8" w:space="0" w:color="969696"/>
            </w:tcBorders>
            <w:shd w:color="auto" w:fill="DEEAF6" w:themeFill="accent1" w:themeFillTint="33"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2</w:t>
            </w:r>
          </w:p>
        </w:tc>
      </w:tr>
    </w:tbl>
    <w:p>
      <w:pPr>
        <w:pStyle w:val="Heading3"/>
        <w:rPr>
          <w:b/>
          <w:b/>
        </w:rPr>
      </w:pPr>
      <w:bookmarkStart w:id="14" w:name="_Toc4068119"/>
      <w:r>
        <w:rPr>
          <w:b/>
        </w:rPr>
        <w:t>Képzési hely szerinti elemzés</w:t>
      </w:r>
      <w:bookmarkEnd w:id="14"/>
    </w:p>
    <w:p>
      <w:pPr>
        <w:pStyle w:val="Normal"/>
        <w:rPr/>
      </w:pPr>
      <w:r>
        <w:rPr/>
        <w:drawing>
          <wp:inline distT="0" distB="0" distL="0" distR="0">
            <wp:extent cx="5810250" cy="2752725"/>
            <wp:effectExtent l="0" t="0" r="0" b="0"/>
            <wp:docPr id="2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Normal"/>
        <w:jc w:val="both"/>
        <w:rPr>
          <w:b/>
          <w:b/>
        </w:rPr>
      </w:pPr>
      <w:r>
        <w:rPr>
          <w:b/>
        </w:rPr>
      </w:r>
    </w:p>
    <w:p>
      <w:pPr>
        <w:pStyle w:val="Normal"/>
        <w:jc w:val="both"/>
        <w:rPr>
          <w:b/>
          <w:b/>
        </w:rPr>
      </w:pPr>
      <w:r>
        <w:rPr>
          <w:b/>
        </w:rPr>
        <w:t>Eger</w:t>
      </w:r>
    </w:p>
    <w:p>
      <w:pPr>
        <w:pStyle w:val="Normal"/>
        <w:jc w:val="both"/>
        <w:rPr/>
      </w:pPr>
      <w:r>
        <w:rPr/>
        <w:t>A központi kampuszon 27 szak került meghirdetésre 2017-ben, alap, mester, osztatlan tanári, FOSZ képzések nappali és levelező tagozatán. Ezek közül 2018-ban először jelent meg a gyógypedagógia szak, 2017-ben a közösségszervezés alapszak nappalis és levelezős tanrendben, humánfejlesztés és kulturális közösségszervezés szakiránnyal. Ezek közül csak a nappali szakok indultak el.</w:t>
      </w:r>
    </w:p>
    <w:p>
      <w:pPr>
        <w:pStyle w:val="Normal"/>
        <w:jc w:val="both"/>
        <w:rPr/>
      </w:pPr>
      <w:r>
        <w:rPr/>
        <w:t>Ezen a helyszínen folynak a kar siker szakjainak képzései (legnagyobb jelentkezési számot és csoport létszámot mutató szakok, lsd. fent) az óvodapedagógus alap nappali és levelező szak, és a csecsemő- és kisgyermeknevelő alap, nappali szak. Az összjelentkezői létszám 2018-ban 2621 fő volt, első helyes jelentkezők száma 843 volt.</w:t>
      </w:r>
    </w:p>
    <w:p>
      <w:pPr>
        <w:pStyle w:val="Normal"/>
        <w:jc w:val="both"/>
        <w:rPr/>
      </w:pPr>
      <w:r>
        <w:rPr/>
        <w:t>Folyamatosan emelkedő tendenciát 12 szakon mutatnak a jelentkezők a kar Egri Campusán (2015-17 között), mely az itt indított szakok 44%-át jelenti.</w:t>
      </w:r>
    </w:p>
    <w:p>
      <w:pPr>
        <w:pStyle w:val="ListParagraph"/>
        <w:numPr>
          <w:ilvl w:val="0"/>
          <w:numId w:val="1"/>
        </w:numPr>
        <w:jc w:val="both"/>
        <w:rPr/>
      </w:pPr>
      <w:r>
        <w:rPr/>
        <w:t>csecsemő- és kisgyermeknevelő, alap, nappali – jelentkezők száma: 139, 156, 229 fő;</w:t>
        <w:br/>
        <w:t>felvettek száma: 9, 21, 34 fő,</w:t>
      </w:r>
    </w:p>
    <w:p>
      <w:pPr>
        <w:pStyle w:val="ListParagraph"/>
        <w:numPr>
          <w:ilvl w:val="0"/>
          <w:numId w:val="1"/>
        </w:numPr>
        <w:jc w:val="both"/>
        <w:rPr/>
      </w:pPr>
      <w:r>
        <w:rPr/>
        <w:t>közösségi művelődés tanár, osztatlan, levelező - jelentkezők száma: 25, 82, 155 fő;</w:t>
        <w:br/>
        <w:t>felvettek száma: 6, 14, 26 fő,</w:t>
      </w:r>
    </w:p>
    <w:p>
      <w:pPr>
        <w:pStyle w:val="ListParagraph"/>
        <w:numPr>
          <w:ilvl w:val="0"/>
          <w:numId w:val="1"/>
        </w:numPr>
        <w:jc w:val="both"/>
        <w:rPr/>
      </w:pPr>
      <w:r>
        <w:rPr/>
        <w:t>televíziós műsorkészítő, FOSZ, nappali - jelentkezők száma: 41, 55, 57 fő;</w:t>
        <w:br/>
        <w:t>felvettek száma: 8, 12, 20 fő,</w:t>
      </w:r>
    </w:p>
    <w:p>
      <w:pPr>
        <w:pStyle w:val="ListParagraph"/>
        <w:numPr>
          <w:ilvl w:val="0"/>
          <w:numId w:val="1"/>
        </w:numPr>
        <w:jc w:val="both"/>
        <w:rPr/>
      </w:pPr>
      <w:r>
        <w:rPr/>
        <w:t>tanító, alap, levelező - jelentkezők száma: 73, 99, 108 fő;</w:t>
        <w:br/>
        <w:t>felvettek száma: 11, 16, 14 fő,</w:t>
      </w:r>
    </w:p>
    <w:p>
      <w:pPr>
        <w:pStyle w:val="ListParagraph"/>
        <w:numPr>
          <w:ilvl w:val="0"/>
          <w:numId w:val="1"/>
        </w:numPr>
        <w:jc w:val="both"/>
        <w:rPr/>
      </w:pPr>
      <w:r>
        <w:rPr/>
        <w:t>pedagógia, alap, levelező - jelentkezők száma: 41, 50, 57 fő;</w:t>
        <w:br/>
        <w:t>felvettek száma: 10, 7, 12 fő,</w:t>
      </w:r>
    </w:p>
    <w:p>
      <w:pPr>
        <w:pStyle w:val="ListParagraph"/>
        <w:numPr>
          <w:ilvl w:val="0"/>
          <w:numId w:val="1"/>
        </w:numPr>
        <w:jc w:val="both"/>
        <w:rPr/>
      </w:pPr>
      <w:r>
        <w:rPr/>
        <w:t>könyvtárostanár, osztatlan, levelező - jelentkezők száma: 19, 21, 38 fő;</w:t>
        <w:br/>
        <w:t>felvettek száma: 3, 2, 12 fő,</w:t>
      </w:r>
    </w:p>
    <w:p>
      <w:pPr>
        <w:pStyle w:val="ListParagraph"/>
        <w:numPr>
          <w:ilvl w:val="0"/>
          <w:numId w:val="1"/>
        </w:numPr>
        <w:jc w:val="both"/>
        <w:rPr/>
      </w:pPr>
      <w:r>
        <w:rPr/>
        <w:t>televíziós műsorkészítő, FOSZ, levelező - jelentkezők száma: 13, 15, 28 fő;</w:t>
        <w:br/>
        <w:t>felvettek száma: 7, 0, 11 fő,</w:t>
      </w:r>
    </w:p>
    <w:p>
      <w:pPr>
        <w:pStyle w:val="ListParagraph"/>
        <w:numPr>
          <w:ilvl w:val="0"/>
          <w:numId w:val="1"/>
        </w:numPr>
        <w:jc w:val="both"/>
        <w:rPr/>
      </w:pPr>
      <w:r>
        <w:rPr/>
        <w:t xml:space="preserve">neveléstudomány, mester, levelező - jelentkezők száma: 34, 55, 59 fő; </w:t>
        <w:br/>
        <w:t>felvettek száma: 8, 10, 9 fő,</w:t>
      </w:r>
    </w:p>
    <w:p>
      <w:pPr>
        <w:pStyle w:val="ListParagraph"/>
        <w:numPr>
          <w:ilvl w:val="0"/>
          <w:numId w:val="1"/>
        </w:numPr>
        <w:jc w:val="both"/>
        <w:rPr/>
      </w:pPr>
      <w:r>
        <w:rPr/>
        <w:t xml:space="preserve">informatikus könyvtáros, alap, levelező - jelentkezők száma: 36, 41, 54 fő; </w:t>
        <w:br/>
        <w:t>felvettek száma: 8, 7, 8 fő,</w:t>
      </w:r>
    </w:p>
    <w:p>
      <w:pPr>
        <w:pStyle w:val="ListParagraph"/>
        <w:numPr>
          <w:ilvl w:val="0"/>
          <w:numId w:val="1"/>
        </w:numPr>
        <w:jc w:val="both"/>
        <w:rPr/>
      </w:pPr>
      <w:r>
        <w:rPr/>
        <w:t>informatikus könyvtáros, alap, T - jelentkezők száma: 5, 11, 13 fő; felvettek száma: 0, 0, 5 fő,</w:t>
      </w:r>
    </w:p>
    <w:p>
      <w:pPr>
        <w:pStyle w:val="ListParagraph"/>
        <w:numPr>
          <w:ilvl w:val="0"/>
          <w:numId w:val="1"/>
        </w:numPr>
        <w:jc w:val="both"/>
        <w:rPr/>
      </w:pPr>
      <w:r>
        <w:rPr/>
        <w:t xml:space="preserve">média-, mozgókép- és kommunikációtanár, osztatlan, levelező - jelentkezők száma: </w:t>
        <w:br/>
        <w:t>12, 19, 30 fő; felvettek száma: 4,3,4 fő,</w:t>
      </w:r>
    </w:p>
    <w:p>
      <w:pPr>
        <w:pStyle w:val="ListParagraph"/>
        <w:numPr>
          <w:ilvl w:val="0"/>
          <w:numId w:val="1"/>
        </w:numPr>
        <w:jc w:val="both"/>
        <w:rPr/>
      </w:pPr>
      <w:r>
        <w:rPr/>
        <w:t xml:space="preserve">könyvtárostanár, osztatlan nappali - jelentkezők száma: 12, 18, 24 fő; </w:t>
        <w:br/>
        <w:t>felvettek száma: 0, 7, 3 fő,</w:t>
      </w:r>
    </w:p>
    <w:p>
      <w:pPr>
        <w:pStyle w:val="Normal"/>
        <w:jc w:val="both"/>
        <w:rPr/>
      </w:pPr>
      <w:r>
        <w:rPr/>
        <w:t>Folyamatosan csökkenő jelentkezői létszámot mutató szakok:</w:t>
      </w:r>
    </w:p>
    <w:p>
      <w:pPr>
        <w:pStyle w:val="ListParagraph"/>
        <w:numPr>
          <w:ilvl w:val="0"/>
          <w:numId w:val="1"/>
        </w:numPr>
        <w:jc w:val="both"/>
        <w:rPr/>
      </w:pPr>
      <w:r>
        <w:rPr/>
        <w:t xml:space="preserve">könyvtártudomány, mester, levelező - jelentkezők száma: 17, 16, 15 fő; </w:t>
        <w:br/>
        <w:t>felvettek száma: 7, 9, 7 fő,</w:t>
      </w:r>
    </w:p>
    <w:p>
      <w:pPr>
        <w:pStyle w:val="ListParagraph"/>
        <w:numPr>
          <w:ilvl w:val="0"/>
          <w:numId w:val="1"/>
        </w:numPr>
        <w:jc w:val="both"/>
        <w:rPr/>
      </w:pPr>
      <w:r>
        <w:rPr/>
        <w:t xml:space="preserve">pedagógia, alap, nappali - jelentkezők száma: 24, 16, 12 fő; </w:t>
        <w:br/>
        <w:t>felvettek száma: 0, 0, 5 fő,</w:t>
      </w:r>
    </w:p>
    <w:p>
      <w:pPr>
        <w:pStyle w:val="ListParagraph"/>
        <w:numPr>
          <w:ilvl w:val="0"/>
          <w:numId w:val="1"/>
        </w:numPr>
        <w:jc w:val="both"/>
        <w:rPr/>
      </w:pPr>
      <w:r>
        <w:rPr/>
        <w:t xml:space="preserve">könyvtártudomány, mester, nappali - jelentkezők száma: 7, 5, 1 fő; </w:t>
        <w:br/>
        <w:t>felvettek száma: 4, 0, 0 fő,</w:t>
      </w:r>
    </w:p>
    <w:p>
      <w:pPr>
        <w:pStyle w:val="Normal"/>
        <w:jc w:val="both"/>
        <w:rPr>
          <w:b/>
          <w:b/>
        </w:rPr>
      </w:pPr>
      <w:r>
        <w:rPr>
          <w:b/>
        </w:rPr>
      </w:r>
    </w:p>
    <w:p>
      <w:pPr>
        <w:pStyle w:val="Normal"/>
        <w:jc w:val="both"/>
        <w:rPr>
          <w:b/>
          <w:b/>
        </w:rPr>
      </w:pPr>
      <w:r>
        <w:rPr>
          <w:b/>
        </w:rPr>
        <w:t>Jászberény</w:t>
      </w:r>
    </w:p>
    <w:p>
      <w:pPr>
        <w:pStyle w:val="Normal"/>
        <w:jc w:val="both"/>
        <w:rPr/>
      </w:pPr>
      <w:r>
        <w:rPr/>
        <w:t>Kimagasló jelentkezői létszámot mutatnak évről évre a jászberényi „klasszikus” szakok. 2018-ban az összjelentkezői szám 796 fő volt, , első helyes jelentkezők száma 265 fő volt.</w:t>
      </w:r>
    </w:p>
    <w:tbl>
      <w:tblPr>
        <w:tblW w:w="9052" w:type="dxa"/>
        <w:jc w:val="left"/>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60" w:type="dxa"/>
          <w:bottom w:w="0" w:type="dxa"/>
          <w:right w:w="70" w:type="dxa"/>
        </w:tblCellMar>
        <w:tblLook w:noVBand="1" w:val="04a0" w:noHBand="0" w:lastColumn="0" w:firstColumn="1" w:lastRow="0" w:firstRow="1"/>
      </w:tblPr>
      <w:tblGrid>
        <w:gridCol w:w="3109"/>
        <w:gridCol w:w="1795"/>
        <w:gridCol w:w="2207"/>
        <w:gridCol w:w="1940"/>
      </w:tblGrid>
      <w:tr>
        <w:trPr>
          <w:trHeight w:val="270" w:hRule="atLeast"/>
        </w:trPr>
        <w:tc>
          <w:tcPr>
            <w:tcW w:w="3109"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Szak megnevezése</w:t>
            </w:r>
          </w:p>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r>
          </w:p>
        </w:tc>
        <w:tc>
          <w:tcPr>
            <w:tcW w:w="1795"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Képzési forma</w:t>
            </w:r>
          </w:p>
        </w:tc>
        <w:tc>
          <w:tcPr>
            <w:tcW w:w="2207"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Jelentkezők száma 2017-ben</w:t>
            </w:r>
          </w:p>
        </w:tc>
        <w:tc>
          <w:tcPr>
            <w:tcW w:w="1940"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Felvettek száma 2017-ben</w:t>
            </w:r>
          </w:p>
        </w:tc>
      </w:tr>
      <w:tr>
        <w:trPr>
          <w:trHeight w:val="270" w:hRule="atLeast"/>
        </w:trPr>
        <w:tc>
          <w:tcPr>
            <w:tcW w:w="3109"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csecsemő- és kisgyermeknevelő </w:t>
            </w:r>
          </w:p>
        </w:tc>
        <w:tc>
          <w:tcPr>
            <w:tcW w:w="1795"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156</w:t>
            </w:r>
          </w:p>
        </w:tc>
        <w:tc>
          <w:tcPr>
            <w:tcW w:w="1940"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25</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tanító </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79</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20</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óvodapedagógus </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156</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19</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óvodapedagógus </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114</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13</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tanító</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83</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13</w:t>
            </w:r>
          </w:p>
        </w:tc>
      </w:tr>
    </w:tbl>
    <w:p>
      <w:pPr>
        <w:pStyle w:val="Normal"/>
        <w:jc w:val="both"/>
        <w:rPr/>
      </w:pPr>
      <w:r>
        <w:rPr/>
      </w:r>
    </w:p>
    <w:p>
      <w:pPr>
        <w:pStyle w:val="Normal"/>
        <w:jc w:val="both"/>
        <w:rPr/>
      </w:pPr>
      <w:r>
        <w:rPr/>
        <w:t>Itt két szak nem került meghirdetésre, az informatikus könyvtáros alap képzés nappali és levelező képzése, és a meghirdetett 4 közösségszervezés alapszak közül csak a kulturális közösségszervezés szakirány levelező tagozata indult el. És szintén nem indult csoport 2017-ben csecsemő és kisgyermeknevelő alapszak nappali tagozatán, annak ellenére, hogy 50 fő jelentkezett ide.</w:t>
      </w:r>
    </w:p>
    <w:p>
      <w:pPr>
        <w:pStyle w:val="Normal"/>
        <w:jc w:val="both"/>
        <w:rPr>
          <w:b/>
          <w:b/>
        </w:rPr>
      </w:pPr>
      <w:r>
        <w:rPr>
          <w:b/>
        </w:rPr>
        <w:t>Sárospatak</w:t>
      </w:r>
    </w:p>
    <w:p>
      <w:pPr>
        <w:pStyle w:val="Normal"/>
        <w:jc w:val="both"/>
        <w:rPr/>
      </w:pPr>
      <w:r>
        <w:rPr/>
        <w:t>Itt is kiegyenlített számokat láthatunk a pataki „klasszikusok” kapcsán: csecsemő – óvó – tanító szakok. A 2018–as összjelentkezői létszám 431 fő volt, az első helyes jelentkező 149 fő.</w:t>
      </w:r>
    </w:p>
    <w:tbl>
      <w:tblPr>
        <w:tblW w:w="9052" w:type="dxa"/>
        <w:jc w:val="left"/>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60" w:type="dxa"/>
          <w:bottom w:w="0" w:type="dxa"/>
          <w:right w:w="70" w:type="dxa"/>
        </w:tblCellMar>
        <w:tblLook w:noVBand="1" w:val="04a0" w:noHBand="0" w:lastColumn="0" w:firstColumn="1" w:lastRow="0" w:firstRow="1"/>
      </w:tblPr>
      <w:tblGrid>
        <w:gridCol w:w="3109"/>
        <w:gridCol w:w="1795"/>
        <w:gridCol w:w="2207"/>
        <w:gridCol w:w="1940"/>
      </w:tblGrid>
      <w:tr>
        <w:trPr>
          <w:trHeight w:val="270" w:hRule="atLeast"/>
        </w:trPr>
        <w:tc>
          <w:tcPr>
            <w:tcW w:w="3109"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Szak megnevezése</w:t>
            </w:r>
          </w:p>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r>
          </w:p>
        </w:tc>
        <w:tc>
          <w:tcPr>
            <w:tcW w:w="1795"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Képzési forma</w:t>
            </w:r>
          </w:p>
        </w:tc>
        <w:tc>
          <w:tcPr>
            <w:tcW w:w="2207"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Jelentkezők száma 2017-ben</w:t>
            </w:r>
          </w:p>
        </w:tc>
        <w:tc>
          <w:tcPr>
            <w:tcW w:w="1940"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b/>
                <w:b/>
                <w:color w:val="000000"/>
                <w:sz w:val="16"/>
                <w:szCs w:val="16"/>
                <w:lang w:eastAsia="hu-HU"/>
              </w:rPr>
            </w:pPr>
            <w:r>
              <w:rPr>
                <w:rFonts w:eastAsia="Times New Roman" w:cs="Calibri" w:ascii="Verdana" w:hAnsi="Verdana"/>
                <w:b/>
                <w:color w:val="000000"/>
                <w:sz w:val="16"/>
                <w:szCs w:val="16"/>
                <w:lang w:eastAsia="hu-HU"/>
              </w:rPr>
              <w:t>Felvettek száma 2017-ben</w:t>
            </w:r>
          </w:p>
        </w:tc>
      </w:tr>
      <w:tr>
        <w:trPr>
          <w:trHeight w:val="270" w:hRule="atLeast"/>
        </w:trPr>
        <w:tc>
          <w:tcPr>
            <w:tcW w:w="3109" w:type="dxa"/>
            <w:tcBorders>
              <w:top w:val="single" w:sz="8" w:space="0" w:color="969696"/>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óvodapedagógus</w:t>
            </w:r>
          </w:p>
        </w:tc>
        <w:tc>
          <w:tcPr>
            <w:tcW w:w="1795"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197</w:t>
            </w:r>
          </w:p>
        </w:tc>
        <w:tc>
          <w:tcPr>
            <w:tcW w:w="1940" w:type="dxa"/>
            <w:tcBorders>
              <w:top w:val="single" w:sz="8" w:space="0" w:color="969696"/>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38</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tanító </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85</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13</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 xml:space="preserve">óvodapedagógus </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91</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10</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csecsemő- és kisgyermeknevelő</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AL</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68</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10</w:t>
            </w:r>
          </w:p>
        </w:tc>
      </w:tr>
      <w:tr>
        <w:trPr>
          <w:trHeight w:val="270" w:hRule="atLeast"/>
        </w:trPr>
        <w:tc>
          <w:tcPr>
            <w:tcW w:w="3109" w:type="dxa"/>
            <w:tcBorders>
              <w:left w:val="single" w:sz="8" w:space="0" w:color="969696"/>
              <w:bottom w:val="single" w:sz="8" w:space="0" w:color="969696"/>
              <w:right w:val="single" w:sz="8" w:space="0" w:color="969696"/>
            </w:tcBorders>
            <w:shd w:color="000000" w:fill="DCE6F1" w:val="clear"/>
            <w:vAlign w:val="bottom"/>
          </w:tcPr>
          <w:p>
            <w:pPr>
              <w:pStyle w:val="Normal"/>
              <w:spacing w:lineRule="auto" w:line="240" w:before="0" w:after="0"/>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tanító</w:t>
            </w:r>
          </w:p>
        </w:tc>
        <w:tc>
          <w:tcPr>
            <w:tcW w:w="1795"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AN</w:t>
            </w:r>
          </w:p>
        </w:tc>
        <w:tc>
          <w:tcPr>
            <w:tcW w:w="2207"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52</w:t>
            </w:r>
          </w:p>
        </w:tc>
        <w:tc>
          <w:tcPr>
            <w:tcW w:w="1940" w:type="dxa"/>
            <w:tcBorders>
              <w:left w:val="single" w:sz="8" w:space="0" w:color="969696"/>
              <w:bottom w:val="single" w:sz="8" w:space="0" w:color="969696"/>
              <w:right w:val="single" w:sz="8" w:space="0" w:color="969696"/>
            </w:tcBorders>
            <w:shd w:color="000000" w:fill="DCE6F1" w:val="clear"/>
          </w:tcPr>
          <w:p>
            <w:pPr>
              <w:pStyle w:val="Normal"/>
              <w:spacing w:lineRule="auto" w:line="240" w:before="0" w:after="0"/>
              <w:jc w:val="center"/>
              <w:rPr>
                <w:rFonts w:ascii="Verdana" w:hAnsi="Verdana" w:eastAsia="Times New Roman" w:cs="Calibri"/>
                <w:color w:val="000000"/>
                <w:sz w:val="16"/>
                <w:szCs w:val="16"/>
                <w:lang w:eastAsia="hu-HU"/>
              </w:rPr>
            </w:pPr>
            <w:r>
              <w:rPr>
                <w:rFonts w:eastAsia="Times New Roman" w:cs="Calibri" w:ascii="Verdana" w:hAnsi="Verdana"/>
                <w:color w:val="000000"/>
                <w:sz w:val="16"/>
                <w:szCs w:val="16"/>
                <w:lang w:eastAsia="hu-HU"/>
              </w:rPr>
              <w:t>6</w:t>
            </w:r>
          </w:p>
        </w:tc>
      </w:tr>
    </w:tbl>
    <w:p>
      <w:pPr>
        <w:pStyle w:val="Normal"/>
        <w:jc w:val="both"/>
        <w:rPr/>
      </w:pPr>
      <w:r>
        <w:rPr/>
      </w:r>
    </w:p>
    <w:p>
      <w:pPr>
        <w:pStyle w:val="Normal"/>
        <w:jc w:val="both"/>
        <w:rPr/>
      </w:pPr>
      <w:r>
        <w:rPr/>
        <w:t>Már nem került meghirdetésre 2017-ben a televíziós műsorkészítő levelező FOSZ az előző évek alacsony jelentkezéseinek köszönhetően. Nem indult el itt sem 2017-ben a csecsemő és kisgyermeknevelő alapszak nappali tagozata, annak ellenére, hogy 53 fő jelentkezett erre.</w:t>
      </w:r>
    </w:p>
    <w:p>
      <w:pPr>
        <w:pStyle w:val="Normal"/>
        <w:jc w:val="both"/>
        <w:rPr/>
      </w:pPr>
      <w:r>
        <w:rPr/>
      </w:r>
    </w:p>
    <w:p>
      <w:pPr>
        <w:pStyle w:val="Heading3"/>
        <w:rPr>
          <w:b/>
          <w:b/>
        </w:rPr>
      </w:pPr>
      <w:bookmarkStart w:id="15" w:name="_Toc4068120"/>
      <w:r>
        <w:rPr>
          <w:b/>
        </w:rPr>
        <w:t>Képzési területenkénti elemzés</w:t>
      </w:r>
      <w:bookmarkEnd w:id="15"/>
    </w:p>
    <w:p>
      <w:pPr>
        <w:pStyle w:val="Normal"/>
        <w:rPr/>
      </w:pPr>
      <w:r>
        <w:rPr/>
      </w:r>
    </w:p>
    <w:p>
      <w:pPr>
        <w:pStyle w:val="Normal"/>
        <w:jc w:val="both"/>
        <w:rPr>
          <w:i/>
          <w:i/>
        </w:rPr>
      </w:pPr>
      <w:r>
        <w:rPr/>
        <w:drawing>
          <wp:inline distT="0" distB="0" distL="0" distR="0">
            <wp:extent cx="6134100" cy="2743200"/>
            <wp:effectExtent l="0" t="0" r="0" b="0"/>
            <wp:docPr id="2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Normal"/>
        <w:jc w:val="both"/>
        <w:rPr>
          <w:i/>
          <w:i/>
        </w:rPr>
      </w:pPr>
      <w:r>
        <w:rPr>
          <w:i/>
        </w:rPr>
        <w:t>Pedagógiai képzési terület</w:t>
      </w:r>
    </w:p>
    <w:p>
      <w:pPr>
        <w:pStyle w:val="Normal"/>
        <w:jc w:val="both"/>
        <w:rPr/>
      </w:pPr>
      <w:r>
        <w:rPr/>
        <w:t>Ez a képzési terület a kar legfőbb szakjait fogja össze, 24 meghirdetett és 22 elindított alap és osztatlan tanári képzéssel, 3 helyszínen zajló oktatással. (Nem indult a jászberényi és a sárospataki alap, nappali képzési rendű csecsemő- és kisgyermeknevelő szak.)</w:t>
      </w:r>
    </w:p>
    <w:p>
      <w:pPr>
        <w:pStyle w:val="Normal"/>
        <w:jc w:val="both"/>
        <w:rPr/>
      </w:pPr>
      <w:r>
        <w:rPr/>
        <w:t>Ezek közül a három kiemelt szak a csecsemő- és kisgyermeknevelő, óvópedagógus, tanító alapképzések, melyekről a fenti elemzéskor láthatóak voltak a részletes adatok. Azokból is kitűnhetett, hogy Eger, Sárospatak, Jászberény sorrend állt be mind a jelentkezői létszám, mind a felvettek száma alapján.</w:t>
      </w:r>
    </w:p>
    <w:p>
      <w:pPr>
        <w:pStyle w:val="Normal"/>
        <w:jc w:val="both"/>
        <w:rPr/>
      </w:pPr>
      <w:r>
        <w:rPr/>
      </w:r>
    </w:p>
    <w:p>
      <w:pPr>
        <w:pStyle w:val="Normal"/>
        <w:jc w:val="both"/>
        <w:rPr>
          <w:i/>
          <w:i/>
        </w:rPr>
      </w:pPr>
      <w:r>
        <w:rPr>
          <w:i/>
        </w:rPr>
        <w:t>Társadalomtudományi képzési terület</w:t>
      </w:r>
    </w:p>
    <w:p>
      <w:pPr>
        <w:pStyle w:val="Normal"/>
        <w:jc w:val="both"/>
        <w:rPr/>
      </w:pPr>
      <w:r>
        <w:rPr/>
        <w:t>E területen 15 meghirdetett és 6 elindított szak található! A szakok alap és mesterképzésként indulnak. E tudományterületen a folyamatos növekedést mutató informatikus könyvtáros alapszak (levelező és T) és a folyamatosan csökkenő könyvtártudomány mesterszak (levelező, nappali) a két szélsőség (ezekről részletes adatok fentebb találhatók).</w:t>
      </w:r>
    </w:p>
    <w:p>
      <w:pPr>
        <w:pStyle w:val="Normal"/>
        <w:jc w:val="both"/>
        <w:rPr/>
      </w:pPr>
      <w:r>
        <w:rPr/>
        <w:t>Ide tartoznak a közösségszervezés szakok is, melyek 2017-es évben még nem mondhatók sikeresnek, hiszen a meghirdetett 8 ide vonatkozó képzésből mindössze 3 indult el: nappalin az egri kulturális közösségszervezés és humán fejlesztés szakirány és Jászberényben, levelezőn a kulturális közösségszervezés.</w:t>
      </w:r>
    </w:p>
    <w:p>
      <w:pPr>
        <w:pStyle w:val="Normal"/>
        <w:jc w:val="both"/>
        <w:rPr/>
      </w:pPr>
      <w:r>
        <w:rPr/>
        <w:t>A tudományterülethez tartozó, elindult szakok mindegyike kevesebb, mint 10 fővel működik (9-5 fő).</w:t>
      </w:r>
    </w:p>
    <w:p>
      <w:pPr>
        <w:pStyle w:val="Normal"/>
        <w:jc w:val="both"/>
        <w:rPr/>
      </w:pPr>
      <w:r>
        <w:rPr/>
      </w:r>
    </w:p>
    <w:p>
      <w:pPr>
        <w:pStyle w:val="Normal"/>
        <w:jc w:val="both"/>
        <w:rPr>
          <w:i/>
          <w:i/>
        </w:rPr>
      </w:pPr>
      <w:r>
        <w:rPr>
          <w:i/>
        </w:rPr>
        <w:t>Bölcsészettudományi képzési terület</w:t>
      </w:r>
    </w:p>
    <w:p>
      <w:pPr>
        <w:pStyle w:val="Normal"/>
        <w:jc w:val="both"/>
        <w:rPr/>
      </w:pPr>
      <w:r>
        <w:rPr/>
        <w:t>E tudományterülethez két szak tartozik: az egri képzési helyszínű pedagógia alapszak és a neveléstudomány mesterszak, mindkettő nappali és levelező tanrenddel is indult. Itt a levelező képzések mutatnak folyamatos fejlődést a vizsgált időszakban, mind jelentkezői, mind a felvett hallgatók számát tekintve (részletes adatokat lsd. fent). A pedagógia alap, nappali szak jelentkezői létszámban folyamatos csökkenést (24, 16, 12 fő), míg felvettek számában folyamatos növekedést mutat (0, 0, 5 fő).</w:t>
      </w:r>
    </w:p>
    <w:p>
      <w:pPr>
        <w:pStyle w:val="Normal"/>
        <w:jc w:val="both"/>
        <w:rPr/>
      </w:pPr>
      <w:r>
        <w:rPr/>
        <w:t>A neveléstudomány mester nappali szakra a jelentkezők száma 5-5-8 fő, a felvettek száma 1-0-2 fő, mellyel 2017-ben a legkisebb indított csoportlétszámot képvisel.</w:t>
      </w:r>
    </w:p>
    <w:p>
      <w:pPr>
        <w:pStyle w:val="Normal"/>
        <w:jc w:val="both"/>
        <w:rPr/>
      </w:pPr>
      <w:r>
        <w:rPr/>
      </w:r>
    </w:p>
    <w:p>
      <w:pPr>
        <w:pStyle w:val="Normal"/>
        <w:jc w:val="both"/>
        <w:rPr>
          <w:i/>
          <w:i/>
        </w:rPr>
      </w:pPr>
      <w:r>
        <w:rPr>
          <w:i/>
        </w:rPr>
        <w:t>Művészeti képzési terület</w:t>
      </w:r>
    </w:p>
    <w:p>
      <w:pPr>
        <w:pStyle w:val="Normal"/>
        <w:jc w:val="both"/>
        <w:rPr/>
      </w:pPr>
      <w:r>
        <w:rPr/>
        <w:t>Ide tartozik a 4 db televíziós műsorkészítő FOSZ képzés levelező és nappali tagozaton, egri és sárospataki oktatással, melyből meghirdetésre 2017-ben már csak az egri került. Az egri szakok a vizsgált időszakban növekedést mutatnak jelentkezői és felvett hallgatói létszámot illetően is, nappali és levelező tagozaton egyaránt.</w:t>
      </w:r>
    </w:p>
    <w:p>
      <w:pPr>
        <w:pStyle w:val="Normal"/>
        <w:rPr/>
      </w:pPr>
      <w:r>
        <w:rPr/>
      </w:r>
      <w:r>
        <w:br w:type="page"/>
      </w:r>
    </w:p>
    <w:p>
      <w:pPr>
        <w:pStyle w:val="Heading2"/>
        <w:rPr>
          <w:b/>
          <w:b/>
          <w:sz w:val="32"/>
          <w:szCs w:val="32"/>
        </w:rPr>
      </w:pPr>
      <w:bookmarkStart w:id="16" w:name="_Toc4068121"/>
      <w:r>
        <w:rPr>
          <w:b/>
          <w:sz w:val="32"/>
          <w:szCs w:val="32"/>
        </w:rPr>
        <w:t>Természettudományi Kar</w:t>
      </w:r>
      <w:bookmarkEnd w:id="16"/>
    </w:p>
    <w:p>
      <w:pPr>
        <w:pStyle w:val="Normal"/>
        <w:rPr/>
      </w:pPr>
      <w:r>
        <w:rPr/>
      </w:r>
    </w:p>
    <w:p>
      <w:pPr>
        <w:pStyle w:val="Normal"/>
        <w:jc w:val="both"/>
        <w:rPr/>
      </w:pPr>
      <w:r>
        <w:rPr/>
        <w:t>A kar 44 meghirdetett, 4 képzési területhez tartozó szakot, 3 képzési helyszínen (Eger, Sárospatak, Jászberény) alap, osztatlan, mester és FOSZ képzésekkel, levelező és nappali tanrendben kínál a hallgatóknak. Az oktatás 95%-a Egerben zajlik, a hallgató létszám 99%-át tudva a ebben a városban. Csak a programtervező informatikus (alap és FOSZ) képzés jelennek meg a sárospataki és a jászberényi oktatási kínálatban.  Az osztatlan tanárszakok száma 16, a többi képzési formához 28 meghirdetett szak tartozik.</w:t>
      </w:r>
    </w:p>
    <w:p>
      <w:pPr>
        <w:pStyle w:val="Normal"/>
        <w:jc w:val="both"/>
        <w:rPr/>
      </w:pPr>
      <w:r>
        <w:rPr/>
        <w:drawing>
          <wp:inline distT="0" distB="0" distL="0" distR="0">
            <wp:extent cx="6134100" cy="3248025"/>
            <wp:effectExtent l="0" t="0" r="0" b="0"/>
            <wp:docPr id="2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Normal"/>
        <w:jc w:val="both"/>
        <w:rPr/>
      </w:pPr>
      <w:r>
        <w:rPr/>
      </w:r>
    </w:p>
    <w:p>
      <w:pPr>
        <w:pStyle w:val="Normal"/>
        <w:spacing w:before="0" w:after="0"/>
        <w:jc w:val="both"/>
        <w:rPr/>
      </w:pPr>
      <w:r>
        <w:rPr/>
        <w:t>Összes jelentkezői létszám 2015-18 között: 2409, 2928, 2911, 2692 fő</w:t>
      </w:r>
    </w:p>
    <w:p>
      <w:pPr>
        <w:pStyle w:val="Normal"/>
        <w:spacing w:before="0" w:after="0"/>
        <w:jc w:val="both"/>
        <w:rPr/>
      </w:pPr>
      <w:r>
        <w:rPr/>
        <w:t>Összes felvett hallgatói létszám 2015-18 között: 490, 613, 623, 614 fő</w:t>
      </w:r>
    </w:p>
    <w:p>
      <w:pPr>
        <w:pStyle w:val="Normal"/>
        <w:spacing w:before="0" w:after="0"/>
        <w:jc w:val="both"/>
        <w:rPr/>
      </w:pPr>
      <w:r>
        <w:rPr/>
        <w:t>Összes első helyes jelentkező száma 2015-17-ig folyamatos növekedést mutat: 616, 795, 865 fő; 2018-ban 809 fő.</w:t>
      </w:r>
    </w:p>
    <w:p>
      <w:pPr>
        <w:pStyle w:val="Normal"/>
        <w:spacing w:before="0" w:after="0"/>
        <w:jc w:val="both"/>
        <w:rPr/>
      </w:pPr>
      <w:r>
        <w:rPr/>
        <w:t>Alapképzésre jelentkezettek száma (2018-ban): összesen 1607 fő, ebből nappali 937, levelező 670 fő.</w:t>
      </w:r>
    </w:p>
    <w:p>
      <w:pPr>
        <w:pStyle w:val="Normal"/>
        <w:spacing w:before="0" w:after="0"/>
        <w:jc w:val="both"/>
        <w:rPr/>
      </w:pPr>
      <w:r>
        <w:rPr/>
        <w:t>Mesterképzésre jelentkezettek száma (2018-ban): összesen 28 fő, ebből nappali 7, levelező 21 fő.</w:t>
      </w:r>
    </w:p>
    <w:p>
      <w:pPr>
        <w:pStyle w:val="Normal"/>
        <w:spacing w:before="0" w:after="0"/>
        <w:jc w:val="both"/>
        <w:rPr/>
      </w:pPr>
      <w:r>
        <w:rPr/>
        <w:t xml:space="preserve">Osztatlan tanárképzésre jelentkezettek száma (2018-ben): összesen 825 fő, ebből nappali 329, </w:t>
        <w:br/>
        <w:t>levelező 496 fő.</w:t>
      </w:r>
    </w:p>
    <w:p>
      <w:pPr>
        <w:pStyle w:val="Normal"/>
        <w:spacing w:before="0" w:after="0"/>
        <w:jc w:val="both"/>
        <w:rPr/>
      </w:pPr>
      <w:r>
        <w:rPr/>
        <w:t>FOSZ képzésre jelentkezettek száma (2018-ban): összesen 232 fő, ebből nappali 126 fő, levelező 106 fő</w:t>
      </w:r>
    </w:p>
    <w:p>
      <w:pPr>
        <w:pStyle w:val="Normal"/>
        <w:spacing w:before="0" w:after="0"/>
        <w:jc w:val="both"/>
        <w:rPr/>
      </w:pPr>
      <w:r>
        <w:rPr/>
        <w:t>Nappali tagozat összesen (2018): 1399 fő, mely az összejelentkezői létszám 52%-a.</w:t>
      </w:r>
    </w:p>
    <w:p>
      <w:pPr>
        <w:pStyle w:val="Normal"/>
        <w:spacing w:before="0" w:after="0"/>
        <w:jc w:val="both"/>
        <w:rPr/>
      </w:pPr>
      <w:r>
        <w:rPr/>
        <w:t>Levelező tagozat összesen (2018): 1293 fő.</w:t>
      </w:r>
    </w:p>
    <w:p>
      <w:pPr>
        <w:pStyle w:val="Normal"/>
        <w:spacing w:before="0" w:after="0"/>
        <w:jc w:val="both"/>
        <w:rPr/>
      </w:pPr>
      <w:r>
        <w:rPr/>
        <w:t xml:space="preserve">Alapképzésre </w:t>
      </w:r>
      <w:r>
        <w:rPr>
          <w:i/>
        </w:rPr>
        <w:t xml:space="preserve">felvettek </w:t>
      </w:r>
      <w:r>
        <w:rPr/>
        <w:t>száma (2018-ban): összesen 336 fő, ebből nappali 179, levelező 157 fő.</w:t>
      </w:r>
    </w:p>
    <w:p>
      <w:pPr>
        <w:pStyle w:val="Normal"/>
        <w:spacing w:before="0" w:after="0"/>
        <w:jc w:val="both"/>
        <w:rPr/>
      </w:pPr>
      <w:r>
        <w:rPr/>
        <w:t xml:space="preserve">Mesterképzésre </w:t>
      </w:r>
      <w:r>
        <w:rPr>
          <w:i/>
        </w:rPr>
        <w:t>felvettek</w:t>
      </w:r>
      <w:r>
        <w:rPr/>
        <w:t xml:space="preserve"> száma (2018-ban): összesen 124 fő, ebből nappali 4, levelező 120 fő.</w:t>
      </w:r>
    </w:p>
    <w:p>
      <w:pPr>
        <w:pStyle w:val="Normal"/>
        <w:spacing w:before="0" w:after="0"/>
        <w:jc w:val="both"/>
        <w:rPr/>
      </w:pPr>
      <w:r>
        <w:rPr/>
        <w:t xml:space="preserve">Osztatlan képzésre </w:t>
      </w:r>
      <w:r>
        <w:rPr>
          <w:i/>
        </w:rPr>
        <w:t>felvettek</w:t>
      </w:r>
      <w:r>
        <w:rPr/>
        <w:t xml:space="preserve"> száma (2018-ban): összesen 78 fő, ebből nappali 22, levelező 56 fő.</w:t>
      </w:r>
    </w:p>
    <w:p>
      <w:pPr>
        <w:pStyle w:val="Normal"/>
        <w:spacing w:before="0" w:after="0"/>
        <w:jc w:val="both"/>
        <w:rPr/>
      </w:pPr>
      <w:r>
        <w:rPr/>
        <w:t xml:space="preserve">FOSZ képzésre </w:t>
      </w:r>
      <w:r>
        <w:rPr>
          <w:i/>
        </w:rPr>
        <w:t>felvettek</w:t>
      </w:r>
      <w:r>
        <w:rPr/>
        <w:t xml:space="preserve"> száma (2018-ban): összesen 76 fő, ebből nappali 45, levelező 31 fő.</w:t>
      </w:r>
    </w:p>
    <w:p>
      <w:pPr>
        <w:pStyle w:val="Normal"/>
        <w:spacing w:before="0" w:after="0"/>
        <w:jc w:val="both"/>
        <w:rPr/>
      </w:pPr>
      <w:r>
        <w:rPr/>
        <w:drawing>
          <wp:inline distT="0" distB="0" distL="0" distR="0">
            <wp:extent cx="6000750" cy="3181350"/>
            <wp:effectExtent l="0" t="0" r="0" b="0"/>
            <wp:docPr id="2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Normal"/>
        <w:spacing w:before="0" w:after="0"/>
        <w:jc w:val="both"/>
        <w:rPr/>
      </w:pPr>
      <w:r>
        <w:rPr/>
      </w:r>
    </w:p>
    <w:p>
      <w:pPr>
        <w:pStyle w:val="Normal"/>
        <w:jc w:val="both"/>
        <w:rPr/>
      </w:pPr>
      <w:r>
        <w:rPr/>
      </w:r>
    </w:p>
    <w:p>
      <w:pPr>
        <w:pStyle w:val="Normal"/>
        <w:jc w:val="both"/>
        <w:rPr/>
      </w:pPr>
      <w:r>
        <w:rPr/>
        <w:t>Az alapképzést választók aránya 2015-18 között 73-ról 60%-ra csökkent, míg az osztatlan tanárképzést választók aránya 20-ról 31-re nőtt, 4%-os növekedést mutat a FOSZ (2018-ban 9%), míg a mesterképzés 2-ről 1%-ra csökkent 2018-ra.</w:t>
      </w:r>
    </w:p>
    <w:p>
      <w:pPr>
        <w:pStyle w:val="Normal"/>
        <w:jc w:val="both"/>
        <w:rPr/>
      </w:pPr>
      <w:r>
        <w:rPr/>
        <w:t>A tagozat választási arányok 2015-ben 63-37 arányúak voltak a nappali tagozat javára, ami 2018-ra ez 52-48 %-ot mutat.</w:t>
      </w:r>
    </w:p>
    <w:p>
      <w:pPr>
        <w:pStyle w:val="Normal"/>
        <w:jc w:val="both"/>
        <w:rPr/>
      </w:pPr>
      <w:r>
        <w:rPr/>
        <w:drawing>
          <wp:inline distT="0" distB="0" distL="0" distR="0">
            <wp:extent cx="6086475" cy="2333625"/>
            <wp:effectExtent l="0" t="0" r="0" b="0"/>
            <wp:docPr id="2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Normal"/>
        <w:jc w:val="both"/>
        <w:rPr/>
      </w:pPr>
      <w:r>
        <w:rPr/>
      </w:r>
    </w:p>
    <w:p>
      <w:pPr>
        <w:pStyle w:val="Normal"/>
        <w:jc w:val="both"/>
        <w:rPr/>
      </w:pPr>
      <w:r>
        <w:rPr/>
        <w:t>A 2018-as jelentkezői létszám alapján állított ranglista átalakult az előző évihez képest, így a kar első szakja a programtervező informatikus alap, nappali szakja, 271 jelentkezővel, ebből 98 első helyes, mely mind meghaladja az előző évi adatokat; második a sport és rekreációszervezés alap, nappali szak 222 jelentkezővel; harmadik a testnevelőtanár osztatlan levelező tagozata, ahová 211-en jelentkeztek; ezt követi 189 jelentkezővel a sportrekreáció szak  sportszervező szakiránya; majd az edző szak alap, levelező tagozat 178 fővel.</w:t>
      </w:r>
    </w:p>
    <w:p>
      <w:pPr>
        <w:pStyle w:val="Normal"/>
        <w:jc w:val="both"/>
        <w:rPr/>
      </w:pPr>
      <w:r>
        <w:rPr/>
        <w:t>A kar 2017-ben legkedveltebb szakjain az első hely a testnevelő tanár osztatlan levelező 280 jelentkező, 55 felvett hallgatóval, második a jelentkezők számában (245 fő) az egri programtervező informatikus alap, nappali képzés, míg felvettek számában ez az első helyezett: 61 fővel. Harmadik a sport- és rekreációszervezés két szakiránya (rekreációszervezés és egészségfejlesztés, sportszervezés), alap, nappali képzésben 209-209 jelentkezővel és 43 ill. 35 felvett hallgatóval. Egyben ezek a legnagyobb létszámú hallgatói csoportok is (61-36 fővel).</w:t>
      </w:r>
    </w:p>
    <w:p>
      <w:pPr>
        <w:pStyle w:val="Normal"/>
        <w:jc w:val="both"/>
        <w:rPr/>
      </w:pPr>
      <w:r>
        <w:rPr/>
        <w:t xml:space="preserve">A legkevesebb jelentkezett és felvett hallgató 2017-ben a fizikatanár osztatlan, nappali szakra volt 3 jelentkező, 2 felvett hallgató (ahol nagyon jó a felvételi arány </w:t>
      </w:r>
      <w:r>
        <w:rPr>
          <w:rFonts w:eastAsia="Wingdings" w:cs="Wingdings" w:ascii="Wingdings" w:hAnsi="Wingdings"/>
        </w:rPr>
        <w:t></w:t>
      </w:r>
      <w:r>
        <w:rPr/>
        <w:t>) és mégis javuló tendenciát mutat, hiszen az előző években meghirdetésre került, de nem volt jelentkező. 2018-ban a legkevesebb jelentkező 6-6-6 fő a sárospataki programtervező informatikus FOSZ nappali, kémiatanár osztatlan, levelező és a geográfus mester nappali szakra volt. A fizikatanár ebben az évben 7 jelentkezőt vonzott.</w:t>
      </w:r>
    </w:p>
    <w:p>
      <w:pPr>
        <w:pStyle w:val="Normal"/>
        <w:jc w:val="both"/>
        <w:rPr/>
      </w:pPr>
      <w:r>
        <w:rPr/>
      </w:r>
    </w:p>
    <w:p>
      <w:pPr>
        <w:pStyle w:val="Normal"/>
        <w:jc w:val="both"/>
        <w:rPr/>
      </w:pPr>
      <w:r>
        <w:rPr/>
        <w:t>Az indított szakok 43%-án kevesebb, mint 10 hallgató tanul, ez 16 képzést érint.</w:t>
      </w:r>
    </w:p>
    <w:p>
      <w:pPr>
        <w:pStyle w:val="Normal"/>
        <w:jc w:val="both"/>
        <w:rPr/>
      </w:pPr>
      <w:r>
        <w:rPr/>
        <w:t>Mind a 44 szak meghirdetésre került, mindegyikre voltak jelentkezők is, de volt, ahol nem feleltek meg a felvételi követelményeknek, így a képzés nem indult el 2017-ben:</w:t>
      </w:r>
    </w:p>
    <w:p>
      <w:pPr>
        <w:pStyle w:val="ListParagraph"/>
        <w:numPr>
          <w:ilvl w:val="0"/>
          <w:numId w:val="1"/>
        </w:numPr>
        <w:jc w:val="both"/>
        <w:rPr/>
      </w:pPr>
      <w:r>
        <w:rPr/>
        <w:t xml:space="preserve">programtervező informatikus (fejlesztő), Sárospatak FOSZ, nappal és levelező - jelentkezők száma: 12 fő (N), 14 fő (L), </w:t>
      </w:r>
    </w:p>
    <w:p>
      <w:pPr>
        <w:pStyle w:val="ListParagraph"/>
        <w:numPr>
          <w:ilvl w:val="0"/>
          <w:numId w:val="1"/>
        </w:numPr>
        <w:jc w:val="both"/>
        <w:rPr/>
      </w:pPr>
      <w:r>
        <w:rPr/>
        <w:t>programtervező informatikus, Sárospatak, alap nappali - először került meghirdetésre, jelentkezők száma: 13 fő,</w:t>
      </w:r>
    </w:p>
    <w:p>
      <w:pPr>
        <w:pStyle w:val="ListParagraph"/>
        <w:numPr>
          <w:ilvl w:val="0"/>
          <w:numId w:val="1"/>
        </w:numPr>
        <w:jc w:val="both"/>
        <w:rPr/>
      </w:pPr>
      <w:r>
        <w:rPr/>
        <w:t>környezettan, alap, nappali és levelező - jelentkezők száma: 8 fő (N), 12 fő (L),</w:t>
      </w:r>
    </w:p>
    <w:p>
      <w:pPr>
        <w:pStyle w:val="ListParagraph"/>
        <w:numPr>
          <w:ilvl w:val="0"/>
          <w:numId w:val="1"/>
        </w:numPr>
        <w:jc w:val="both"/>
        <w:rPr/>
      </w:pPr>
      <w:r>
        <w:rPr/>
        <w:t>kémia, alap, nappali - jelentkezők száma: 11 fő</w:t>
      </w:r>
    </w:p>
    <w:p>
      <w:pPr>
        <w:pStyle w:val="ListParagraph"/>
        <w:numPr>
          <w:ilvl w:val="0"/>
          <w:numId w:val="1"/>
        </w:numPr>
        <w:jc w:val="both"/>
        <w:rPr/>
      </w:pPr>
      <w:r>
        <w:rPr/>
        <w:t>matematika, alap, nappali - jelentkezők száma: 9 fő</w:t>
      </w:r>
    </w:p>
    <w:p>
      <w:pPr>
        <w:pStyle w:val="Normal"/>
        <w:jc w:val="both"/>
        <w:rPr/>
      </w:pPr>
      <w:r>
        <w:rPr/>
        <w:t>Az indított szakok 32%-a mutat az elmúlt 3 évben 2015-17 között folyamatosan növekvő jelentkezői létszámot (14 szak), melyek 85%-a osztatlan képzés, egri képzési helyszínnel (csak az ettől eltérő szak van nevesítve):</w:t>
      </w:r>
    </w:p>
    <w:p>
      <w:pPr>
        <w:pStyle w:val="ListParagraph"/>
        <w:numPr>
          <w:ilvl w:val="0"/>
          <w:numId w:val="1"/>
        </w:numPr>
        <w:jc w:val="both"/>
        <w:rPr/>
      </w:pPr>
      <w:r>
        <w:rPr/>
        <w:t>testnevelő tanár (N) - jelentkezők száma: 49, 144, 280 fő, felvettek száma: 8, 27, 55 fő</w:t>
      </w:r>
    </w:p>
    <w:p>
      <w:pPr>
        <w:pStyle w:val="ListParagraph"/>
        <w:numPr>
          <w:ilvl w:val="0"/>
          <w:numId w:val="1"/>
        </w:numPr>
        <w:jc w:val="both"/>
        <w:rPr/>
      </w:pPr>
      <w:r>
        <w:rPr/>
        <w:t>testnevelő tanár (L) – jelentkezők száma: 101, 165, 171 fő, felvettek száma: 28, 44, 30 fő</w:t>
      </w:r>
    </w:p>
    <w:p>
      <w:pPr>
        <w:pStyle w:val="ListParagraph"/>
        <w:numPr>
          <w:ilvl w:val="0"/>
          <w:numId w:val="1"/>
        </w:numPr>
        <w:jc w:val="both"/>
        <w:rPr/>
      </w:pPr>
      <w:r>
        <w:rPr/>
        <w:t>programtervező informatikus, alap, nappali - – jelentkezők száma: 204, 235, 245 fő, felvettek száma: 42, 53, 61 fő</w:t>
      </w:r>
    </w:p>
    <w:p>
      <w:pPr>
        <w:pStyle w:val="ListParagraph"/>
        <w:numPr>
          <w:ilvl w:val="0"/>
          <w:numId w:val="1"/>
        </w:numPr>
        <w:jc w:val="both"/>
        <w:rPr/>
      </w:pPr>
      <w:r>
        <w:rPr/>
        <w:t>programtervező informatikus, alap, levelező – jelentkezők száma: 80, 111, 145, felvettek száma: 14, 34, 35 fő</w:t>
      </w:r>
    </w:p>
    <w:p>
      <w:pPr>
        <w:pStyle w:val="ListParagraph"/>
        <w:numPr>
          <w:ilvl w:val="0"/>
          <w:numId w:val="1"/>
        </w:numPr>
        <w:jc w:val="both"/>
        <w:rPr/>
      </w:pPr>
      <w:r>
        <w:rPr/>
        <w:t>földrajztanár (N) – jelentkezők száma: 43, 52, 52, felvettek száma: 13, 11, 13 fő</w:t>
      </w:r>
    </w:p>
    <w:p>
      <w:pPr>
        <w:pStyle w:val="ListParagraph"/>
        <w:numPr>
          <w:ilvl w:val="0"/>
          <w:numId w:val="1"/>
        </w:numPr>
        <w:jc w:val="both"/>
        <w:rPr/>
      </w:pPr>
      <w:r>
        <w:rPr/>
        <w:t>földrajztanár (L) – jelentkezők száma: 40, 48, 82, felvettek száma: 11, 10, 14 fő</w:t>
      </w:r>
    </w:p>
    <w:p>
      <w:pPr>
        <w:pStyle w:val="ListParagraph"/>
        <w:numPr>
          <w:ilvl w:val="0"/>
          <w:numId w:val="1"/>
        </w:numPr>
        <w:jc w:val="both"/>
        <w:rPr/>
      </w:pPr>
      <w:r>
        <w:rPr/>
        <w:t>biológiatanár (egészségtan), levelező – jelentkezők száma: 23, 54, 69, felvettek száma: 4, 10, 24 fő</w:t>
      </w:r>
    </w:p>
    <w:p>
      <w:pPr>
        <w:pStyle w:val="ListParagraph"/>
        <w:numPr>
          <w:ilvl w:val="0"/>
          <w:numId w:val="1"/>
        </w:numPr>
        <w:jc w:val="both"/>
        <w:rPr/>
      </w:pPr>
      <w:r>
        <w:rPr/>
        <w:t>programtervező informatikus (fejlesztő), FOSZ, levelező - jelentkezők száma: 27, 49, 63, felvettek száma: 9, 14, 19 fő</w:t>
      </w:r>
    </w:p>
    <w:p>
      <w:pPr>
        <w:pStyle w:val="ListParagraph"/>
        <w:numPr>
          <w:ilvl w:val="0"/>
          <w:numId w:val="1"/>
        </w:numPr>
        <w:jc w:val="both"/>
        <w:rPr/>
      </w:pPr>
      <w:r>
        <w:rPr/>
        <w:t>matematikatanár, levelező - jelentkezők száma: 38, 40, 58, felvettek száma: 11, 10, 19 fő</w:t>
      </w:r>
    </w:p>
    <w:p>
      <w:pPr>
        <w:pStyle w:val="ListParagraph"/>
        <w:numPr>
          <w:ilvl w:val="0"/>
          <w:numId w:val="1"/>
        </w:numPr>
        <w:jc w:val="both"/>
        <w:rPr/>
      </w:pPr>
      <w:r>
        <w:rPr/>
        <w:t>informatikatanár, levelező - jelentkezők száma: 28,37,57, felvettek száma: 8, 5, 18 fő</w:t>
      </w:r>
    </w:p>
    <w:p>
      <w:pPr>
        <w:pStyle w:val="ListParagraph"/>
        <w:numPr>
          <w:ilvl w:val="0"/>
          <w:numId w:val="1"/>
        </w:numPr>
        <w:jc w:val="both"/>
        <w:rPr/>
      </w:pPr>
      <w:r>
        <w:rPr/>
        <w:t>kémiatanár, levelező - jelentkezők száma: 15, 20, 28, felvettek száma: 4, 6, 13 fő</w:t>
      </w:r>
    </w:p>
    <w:p>
      <w:pPr>
        <w:pStyle w:val="ListParagraph"/>
        <w:numPr>
          <w:ilvl w:val="0"/>
          <w:numId w:val="1"/>
        </w:numPr>
        <w:jc w:val="both"/>
        <w:rPr/>
      </w:pPr>
      <w:r>
        <w:rPr/>
        <w:t>természetismeret-környezettan tanár, levelező - jelentkezők száma: 0, 15, 24, felvettek száma: 0, 1, 5 fő</w:t>
      </w:r>
    </w:p>
    <w:p>
      <w:pPr>
        <w:pStyle w:val="ListParagraph"/>
        <w:numPr>
          <w:ilvl w:val="0"/>
          <w:numId w:val="1"/>
        </w:numPr>
        <w:jc w:val="both"/>
        <w:rPr/>
      </w:pPr>
      <w:r>
        <w:rPr/>
        <w:t>fizikatanár (természettudományos gyakorlatok), nappali - jelentkezők száma: 0, 0, 3, felvettek száma: 0, 0, 2 fő</w:t>
      </w:r>
    </w:p>
    <w:p>
      <w:pPr>
        <w:pStyle w:val="ListParagraph"/>
        <w:numPr>
          <w:ilvl w:val="0"/>
          <w:numId w:val="1"/>
        </w:numPr>
        <w:jc w:val="both"/>
        <w:rPr/>
      </w:pPr>
      <w:r>
        <w:rPr/>
        <w:t>fizikatanár (természettudományos gyakorlatok), levelező - jelentkezők száma: 0, 0, 19 felvettek száma: 0, 0, 5 fő</w:t>
      </w:r>
    </w:p>
    <w:p>
      <w:pPr>
        <w:pStyle w:val="Normal"/>
        <w:jc w:val="both"/>
        <w:rPr/>
      </w:pPr>
      <w:r>
        <w:rPr/>
        <w:t>A 3 éves vizsgált időszakban (2015-17) mindössze 3 szak mutat csökkenést:</w:t>
      </w:r>
    </w:p>
    <w:p>
      <w:pPr>
        <w:pStyle w:val="ListParagraph"/>
        <w:numPr>
          <w:ilvl w:val="0"/>
          <w:numId w:val="1"/>
        </w:numPr>
        <w:jc w:val="both"/>
        <w:rPr/>
      </w:pPr>
      <w:r>
        <w:rPr/>
        <w:t>geográfus, mester, nappali jelentkezők száma: 31, 23, 19 felvettek száma: 6, 7, 4 fő</w:t>
      </w:r>
    </w:p>
    <w:p>
      <w:pPr>
        <w:pStyle w:val="ListParagraph"/>
        <w:numPr>
          <w:ilvl w:val="0"/>
          <w:numId w:val="1"/>
        </w:numPr>
        <w:jc w:val="both"/>
        <w:rPr/>
      </w:pPr>
      <w:r>
        <w:rPr/>
        <w:t>kémiatanár, osztatlan, nappali jelentkezők száma: 22, 17, 15 felvettek száma: 5, 7, 4 fő</w:t>
      </w:r>
    </w:p>
    <w:p>
      <w:pPr>
        <w:pStyle w:val="ListParagraph"/>
        <w:numPr>
          <w:ilvl w:val="0"/>
          <w:numId w:val="1"/>
        </w:numPr>
        <w:jc w:val="both"/>
        <w:rPr/>
      </w:pPr>
      <w:r>
        <w:rPr/>
        <w:t>matematika, alap, nappali jelentkezők száma: 26, 11, 9 felvettek száma: 0, 0, 0 fő</w:t>
      </w:r>
    </w:p>
    <w:p>
      <w:pPr>
        <w:pStyle w:val="ListParagraph"/>
        <w:jc w:val="both"/>
        <w:rPr/>
      </w:pPr>
      <w:r>
        <w:rPr/>
      </w:r>
    </w:p>
    <w:p>
      <w:pPr>
        <w:pStyle w:val="ListParagraph"/>
        <w:jc w:val="both"/>
        <w:rPr/>
      </w:pPr>
      <w:r>
        <w:rPr/>
      </w:r>
    </w:p>
    <w:p>
      <w:pPr>
        <w:pStyle w:val="Heading3"/>
        <w:rPr>
          <w:b/>
          <w:b/>
        </w:rPr>
      </w:pPr>
      <w:bookmarkStart w:id="17" w:name="_Toc4068122"/>
      <w:r>
        <w:rPr>
          <w:b/>
        </w:rPr>
        <w:t>Képzési területenkénti elemzés</w:t>
      </w:r>
      <w:bookmarkEnd w:id="17"/>
      <w:r>
        <w:rPr>
          <w:b/>
        </w:rPr>
        <w:t xml:space="preserve"> </w:t>
      </w:r>
    </w:p>
    <w:p>
      <w:pPr>
        <w:pStyle w:val="Heading3"/>
        <w:rPr/>
      </w:pPr>
      <w:r>
        <w:rPr/>
      </w:r>
    </w:p>
    <w:p>
      <w:pPr>
        <w:pStyle w:val="Normal"/>
        <w:rPr>
          <w:b/>
          <w:b/>
        </w:rPr>
      </w:pPr>
      <w:bookmarkStart w:id="18" w:name="_Toc512367361"/>
      <w:r>
        <w:rPr/>
        <w:drawing>
          <wp:inline distT="0" distB="0" distL="0" distR="0">
            <wp:extent cx="5972175" cy="2743200"/>
            <wp:effectExtent l="0" t="0" r="0" b="0"/>
            <wp:docPr id="2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18"/>
    </w:p>
    <w:p>
      <w:pPr>
        <w:pStyle w:val="Normal"/>
        <w:jc w:val="both"/>
        <w:rPr>
          <w:i/>
          <w:i/>
        </w:rPr>
      </w:pPr>
      <w:r>
        <w:rPr>
          <w:i/>
        </w:rPr>
      </w:r>
    </w:p>
    <w:p>
      <w:pPr>
        <w:pStyle w:val="Normal"/>
        <w:jc w:val="both"/>
        <w:rPr>
          <w:i/>
          <w:i/>
        </w:rPr>
      </w:pPr>
      <w:r>
        <w:rPr>
          <w:i/>
        </w:rPr>
        <w:t>Informatika képzési terület</w:t>
      </w:r>
    </w:p>
    <w:p>
      <w:pPr>
        <w:pStyle w:val="Normal"/>
        <w:jc w:val="both"/>
        <w:rPr/>
      </w:pPr>
      <w:r>
        <w:rPr/>
        <w:t>Ide a programtervező informatikus képzések tartoznak, melyek FOSZ és alap képzés keretében működnek, nappali és levelező tagozaton, egri, sárospataki, jászberényi oktatással.</w:t>
      </w:r>
    </w:p>
    <w:p>
      <w:pPr>
        <w:pStyle w:val="Normal"/>
        <w:jc w:val="both"/>
        <w:rPr/>
      </w:pPr>
      <w:r>
        <w:rPr/>
        <w:t>Összességében a képzések emelkedő tendenciát mutatnak, jelentkezői, első helyes jelentkezői és felvett hallgatói létszámban egyaránt.</w:t>
      </w:r>
    </w:p>
    <w:p>
      <w:pPr>
        <w:pStyle w:val="Normal"/>
        <w:jc w:val="both"/>
        <w:rPr/>
      </w:pPr>
      <w:r>
        <w:rPr/>
        <w:drawing>
          <wp:inline distT="0" distB="0" distL="0" distR="0">
            <wp:extent cx="5772150" cy="2324100"/>
            <wp:effectExtent l="0" t="0" r="0" b="0"/>
            <wp:docPr id="2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Normal"/>
        <w:jc w:val="both"/>
        <w:rPr/>
      </w:pPr>
      <w:r>
        <w:rPr/>
      </w:r>
    </w:p>
    <w:p>
      <w:pPr>
        <w:pStyle w:val="Normal"/>
        <w:jc w:val="both"/>
        <w:rPr/>
      </w:pPr>
      <w:r>
        <w:rPr/>
        <w:t>Nem indultak el a sárospataki képzések közül a FOSZ nappali és levelező. illetve a levelező alapszak, itt 2017-ben az alap nappali szak teljesíthető.</w:t>
      </w:r>
    </w:p>
    <w:p>
      <w:pPr>
        <w:pStyle w:val="Normal"/>
        <w:jc w:val="both"/>
        <w:rPr/>
      </w:pPr>
      <w:r>
        <w:rPr/>
        <w:t xml:space="preserve">Elindult azonban Jászberényben a FOSZ nappali és levelező tagozaton is. </w:t>
      </w:r>
    </w:p>
    <w:p>
      <w:pPr>
        <w:pStyle w:val="Normal"/>
        <w:jc w:val="both"/>
        <w:rPr/>
      </w:pPr>
      <w:r>
        <w:rPr/>
        <w:t>Az egri képzések siker szakoknak nevezhetőek, mind alapképzésben, mind FOSZ képzési keretek között. Az alap nappali mutatja a kar második legnagyobb jelentkezői létszámát, a legnagyobb felvett tanulói csoportot a TTK-n, és az évenkénti folyamatos növekedést is, ezt követi az alap levelező, majd a FOSZ nappali, aztán a FOSZ levelező tagozata következik.</w:t>
      </w:r>
    </w:p>
    <w:p>
      <w:pPr>
        <w:pStyle w:val="Normal"/>
        <w:jc w:val="both"/>
        <w:rPr/>
      </w:pPr>
      <w:r>
        <w:rPr/>
      </w:r>
    </w:p>
    <w:p>
      <w:pPr>
        <w:pStyle w:val="Normal"/>
        <w:jc w:val="both"/>
        <w:rPr>
          <w:i/>
          <w:i/>
        </w:rPr>
      </w:pPr>
      <w:r>
        <w:rPr>
          <w:i/>
        </w:rPr>
        <w:t>Természettudomány képzési terület</w:t>
      </w:r>
    </w:p>
    <w:p>
      <w:pPr>
        <w:pStyle w:val="Normal"/>
        <w:jc w:val="both"/>
        <w:rPr/>
      </w:pPr>
      <w:r>
        <w:rPr/>
        <w:t>A természettudományi kar 12, nem tanárképző alap és mester szakja tartozik ide. Ezek közül 4 nem indult a felvételi követelmények nem teljesítése miatt: környezettan (nappali, levelező), matematika (nappali), kémia (nappali).</w:t>
      </w:r>
    </w:p>
    <w:p>
      <w:pPr>
        <w:pStyle w:val="Normal"/>
        <w:jc w:val="both"/>
        <w:rPr/>
      </w:pPr>
      <w:r>
        <w:rPr/>
        <w:t>A biológia alapszak levelező tagozata kivételével minden csoport alacsonyabb, mint 10 fő.</w:t>
      </w:r>
    </w:p>
    <w:p>
      <w:pPr>
        <w:pStyle w:val="Normal"/>
        <w:jc w:val="both"/>
        <w:rPr/>
      </w:pPr>
      <w:r>
        <w:rPr/>
        <w:drawing>
          <wp:inline distT="0" distB="0" distL="0" distR="0">
            <wp:extent cx="6143625" cy="2162175"/>
            <wp:effectExtent l="0" t="0" r="0" b="0"/>
            <wp:docPr id="2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Normal"/>
        <w:jc w:val="both"/>
        <w:rPr>
          <w:i/>
          <w:i/>
        </w:rPr>
      </w:pPr>
      <w:r>
        <w:rPr>
          <w:i/>
        </w:rPr>
        <w:t>Sport(tudományi) képzési terület</w:t>
      </w:r>
    </w:p>
    <w:p>
      <w:pPr>
        <w:pStyle w:val="Normal"/>
        <w:jc w:val="both"/>
        <w:rPr/>
      </w:pPr>
      <w:r>
        <w:rPr/>
        <w:t>Ide két szak az edző és a sport- és rekreációszervezés alapszakok tartoznak, az utóbbi két szakosodási lehetőséggel, nappali és levelező tagozattal. Az indított szakok közül az edzőképzés kiscsoportokban zajlanak: levelezőn 6, nappalin 8 fővel. A rekreációs szakok nagy érdeklődésre tartanak számot, jelentkezői és felvett hallgatói létszám tekintetében is. Összességében elmondható, hogy a képzési terület siker éve 2016 volt.</w:t>
      </w:r>
    </w:p>
    <w:p>
      <w:pPr>
        <w:pStyle w:val="Normal"/>
        <w:jc w:val="both"/>
        <w:rPr/>
      </w:pPr>
      <w:r>
        <w:rPr/>
      </w:r>
    </w:p>
    <w:p>
      <w:pPr>
        <w:pStyle w:val="Normal"/>
        <w:jc w:val="both"/>
        <w:rPr/>
      </w:pPr>
      <w:r>
        <w:rPr/>
        <w:drawing>
          <wp:inline distT="0" distB="0" distL="0" distR="0">
            <wp:extent cx="5943600" cy="2343150"/>
            <wp:effectExtent l="0" t="0" r="0" b="0"/>
            <wp:docPr id="3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Normal"/>
        <w:jc w:val="both"/>
        <w:rPr/>
      </w:pPr>
      <w:r>
        <w:rPr/>
      </w:r>
    </w:p>
    <w:p>
      <w:pPr>
        <w:pStyle w:val="Normal"/>
        <w:jc w:val="both"/>
        <w:rPr>
          <w:i/>
          <w:i/>
        </w:rPr>
      </w:pPr>
      <w:r>
        <w:rPr>
          <w:i/>
        </w:rPr>
        <w:t>Pedagógia képzési terület</w:t>
      </w:r>
    </w:p>
    <w:p>
      <w:pPr>
        <w:pStyle w:val="Normal"/>
        <w:jc w:val="both"/>
        <w:rPr/>
      </w:pPr>
      <w:r>
        <w:rPr/>
        <w:t>A kar 16 osztatlan természettudományi tanárszakja tartozik ebbe a csoportba. Ebből 11 szak a vizsgált 3 évben folyamatos fejlődést mutat, egy csökkenő tendenciát, a maradék 4 szak kiegyenlített jelentkezői létszáma mellett a felvett hallgatók emelkedő számát láthatjuk (kevesebb jelentkező mellett, több felvett hallgató) – informatikatanár (nappali), természetismeret- környezettan tanár (nappali). A 16-ból, 6 szakon 10 fő alatti csoportlétszámokkal dolgoznak. A képzési területhez tartozó szakok folyamatos növekedését láthatjuk az összefoglaló táblázat szerint, ezzel a kar legtöbb felvett hallgatójával rendelkező képzési területe.</w:t>
      </w:r>
    </w:p>
    <w:p>
      <w:pPr>
        <w:pStyle w:val="Normal"/>
        <w:jc w:val="both"/>
        <w:rPr/>
      </w:pPr>
      <w:r>
        <w:rPr/>
        <w:drawing>
          <wp:inline distT="0" distB="0" distL="0" distR="0">
            <wp:extent cx="5810250" cy="2352675"/>
            <wp:effectExtent l="0" t="0" r="0" b="0"/>
            <wp:docPr id="3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Normal"/>
        <w:jc w:val="both"/>
        <w:rPr/>
      </w:pPr>
      <w:r>
        <w:rPr/>
      </w:r>
    </w:p>
    <w:p>
      <w:pPr>
        <w:pStyle w:val="Normal"/>
        <w:rPr>
          <w:b/>
          <w:b/>
        </w:rPr>
      </w:pPr>
      <w:r>
        <w:rPr>
          <w:b/>
        </w:rPr>
      </w:r>
      <w:r>
        <w:br w:type="page"/>
      </w:r>
    </w:p>
    <w:p>
      <w:pPr>
        <w:pStyle w:val="Heading2"/>
        <w:rPr>
          <w:b/>
          <w:b/>
          <w:sz w:val="32"/>
          <w:szCs w:val="32"/>
        </w:rPr>
      </w:pPr>
      <w:bookmarkStart w:id="19" w:name="_Toc4068123"/>
      <w:r>
        <w:rPr>
          <w:b/>
          <w:sz w:val="32"/>
          <w:szCs w:val="32"/>
        </w:rPr>
        <w:t>Osztatlan tanárszakok az Eszterházy Károly Egyetemen</w:t>
      </w:r>
      <w:bookmarkEnd w:id="19"/>
    </w:p>
    <w:p>
      <w:pPr>
        <w:pStyle w:val="Normal"/>
        <w:jc w:val="both"/>
        <w:rPr/>
      </w:pPr>
      <w:r>
        <w:rPr/>
      </w:r>
    </w:p>
    <w:p>
      <w:pPr>
        <w:pStyle w:val="Normal"/>
        <w:jc w:val="both"/>
        <w:rPr/>
      </w:pPr>
      <w:r>
        <w:rPr/>
        <w:t>A tanárképzés egyik legfontosabb intézményeként érdemes külön elemezni az osztatlan tanárképzést az egyetemen. A tanárképzés 2017-ben 37 szakon, nappali és levelező tagozaton az Agrártudományi és Vidékfejlesztési kar kivételével minden karon zajlik, eltérő arányban:</w:t>
      </w:r>
    </w:p>
    <w:p>
      <w:pPr>
        <w:pStyle w:val="Normal"/>
        <w:spacing w:lineRule="auto" w:line="240" w:before="0" w:after="0"/>
        <w:jc w:val="both"/>
        <w:rPr/>
      </w:pPr>
      <w:r>
        <w:rPr/>
        <w:t>BTK: 13 szak</w:t>
      </w:r>
    </w:p>
    <w:p>
      <w:pPr>
        <w:pStyle w:val="Normal"/>
        <w:spacing w:lineRule="auto" w:line="240" w:before="0" w:after="0"/>
        <w:jc w:val="both"/>
        <w:rPr/>
      </w:pPr>
      <w:r>
        <w:rPr/>
        <w:t>GTK: 2 szak</w:t>
      </w:r>
    </w:p>
    <w:p>
      <w:pPr>
        <w:pStyle w:val="Normal"/>
        <w:spacing w:lineRule="auto" w:line="240" w:before="0" w:after="0"/>
        <w:jc w:val="both"/>
        <w:rPr/>
      </w:pPr>
      <w:r>
        <w:rPr/>
        <w:t>PK: 6 szak</w:t>
      </w:r>
    </w:p>
    <w:p>
      <w:pPr>
        <w:pStyle w:val="Normal"/>
        <w:spacing w:lineRule="auto" w:line="240" w:before="0" w:after="0"/>
        <w:jc w:val="both"/>
        <w:rPr/>
      </w:pPr>
      <w:r>
        <w:rPr/>
        <w:t>TTK: 16 szak</w:t>
      </w:r>
    </w:p>
    <w:p>
      <w:pPr>
        <w:pStyle w:val="Normal"/>
        <w:spacing w:lineRule="auto" w:line="240" w:before="0" w:after="0"/>
        <w:jc w:val="both"/>
        <w:rPr/>
      </w:pPr>
      <w:r>
        <w:rPr/>
      </w:r>
    </w:p>
    <w:p>
      <w:pPr>
        <w:pStyle w:val="Normal"/>
        <w:jc w:val="both"/>
        <w:rPr/>
      </w:pPr>
      <w:r>
        <w:rPr/>
        <w:t>A tanárszakok nagy kedveltségnek örvendenek, a vizsgált időszakban a képzéshez tartozó minden adat 2017-ig növekedést mutat, majd a 2018-as számok visszaesést jeleznek.</w:t>
      </w:r>
    </w:p>
    <w:p>
      <w:pPr>
        <w:pStyle w:val="Normal"/>
        <w:jc w:val="both"/>
        <w:rPr/>
      </w:pPr>
      <w:r>
        <w:rPr/>
        <w:drawing>
          <wp:inline distT="0" distB="0" distL="0" distR="0">
            <wp:extent cx="6048375" cy="2743200"/>
            <wp:effectExtent l="0" t="0" r="0" b="0"/>
            <wp:docPr id="3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Normal"/>
        <w:jc w:val="both"/>
        <w:rPr/>
      </w:pPr>
      <w:r>
        <w:rPr/>
      </w:r>
    </w:p>
    <w:p>
      <w:pPr>
        <w:pStyle w:val="Normal"/>
        <w:jc w:val="both"/>
        <w:rPr/>
      </w:pPr>
      <w:r>
        <w:rPr/>
        <w:t>A tanár szakok nappali-levelező tagozatra jelentkező hallgatóinak létszámai</w:t>
      </w:r>
    </w:p>
    <w:p>
      <w:pPr>
        <w:pStyle w:val="Normal"/>
        <w:jc w:val="both"/>
        <w:rPr/>
      </w:pPr>
      <w:r>
        <w:rPr/>
      </w:r>
    </w:p>
    <w:p>
      <w:pPr>
        <w:pStyle w:val="Normal"/>
        <w:jc w:val="both"/>
        <w:rPr/>
      </w:pPr>
      <w:r>
        <w:rPr/>
        <w:drawing>
          <wp:inline distT="0" distB="0" distL="0" distR="0">
            <wp:extent cx="6048375" cy="2324100"/>
            <wp:effectExtent l="0" t="0" r="0" b="0"/>
            <wp:docPr id="3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Normal"/>
        <w:jc w:val="both"/>
        <w:rPr/>
      </w:pPr>
      <w:r>
        <w:rPr/>
        <w:t>Egyetlen szak nem indult el 2017-ben a 37-ből, ez a GTK közgazdásztanár [vállalkozási ismeretek], nappali tagozatú szakja volt.</w:t>
      </w:r>
    </w:p>
    <w:p>
      <w:pPr>
        <w:pStyle w:val="Normal"/>
        <w:jc w:val="both"/>
        <w:rPr/>
      </w:pPr>
      <w:r>
        <w:rPr/>
        <w:t>Az alábbiakban a 2017-ben legnagyobb (55-19) felvett hallgatói létszámot adó szakokat soroljuk fel:</w:t>
      </w:r>
    </w:p>
    <w:p>
      <w:pPr>
        <w:pStyle w:val="ListParagraph"/>
        <w:numPr>
          <w:ilvl w:val="0"/>
          <w:numId w:val="1"/>
        </w:numPr>
        <w:jc w:val="both"/>
        <w:rPr>
          <w:rFonts w:cs="Calibri" w:cstheme="minorHAnsi"/>
        </w:rPr>
      </w:pPr>
      <w:r>
        <w:rPr>
          <w:rFonts w:cs="Calibri" w:cstheme="minorHAnsi"/>
        </w:rPr>
        <w:t>testnevelő tanár, levelező, TTK, 55 hallgató</w:t>
      </w:r>
    </w:p>
    <w:p>
      <w:pPr>
        <w:pStyle w:val="ListParagraph"/>
        <w:numPr>
          <w:ilvl w:val="0"/>
          <w:numId w:val="1"/>
        </w:numPr>
        <w:jc w:val="both"/>
        <w:rPr>
          <w:rFonts w:cs="Calibri" w:cstheme="minorHAnsi"/>
        </w:rPr>
      </w:pPr>
      <w:r>
        <w:rPr>
          <w:rFonts w:cs="Calibri" w:cstheme="minorHAnsi"/>
        </w:rPr>
        <w:t>történelemtanár és állampolgári ismeretek tanára, nappali, BTK, 39 hallgató</w:t>
      </w:r>
    </w:p>
    <w:p>
      <w:pPr>
        <w:pStyle w:val="ListParagraph"/>
        <w:numPr>
          <w:ilvl w:val="0"/>
          <w:numId w:val="1"/>
        </w:numPr>
        <w:jc w:val="both"/>
        <w:rPr>
          <w:rFonts w:cs="Calibri" w:cstheme="minorHAnsi"/>
        </w:rPr>
      </w:pPr>
      <w:r>
        <w:rPr>
          <w:rFonts w:eastAsia="Times New Roman" w:cs="Calibri" w:cstheme="minorHAnsi"/>
          <w:color w:val="000000"/>
          <w:lang w:eastAsia="hu-HU"/>
        </w:rPr>
        <w:t xml:space="preserve">angol nyelv és kultúra tanára, </w:t>
      </w:r>
      <w:r>
        <w:rPr>
          <w:rFonts w:cs="Calibri" w:cstheme="minorHAnsi"/>
        </w:rPr>
        <w:t>nappali, BTK, 38 hallgató</w:t>
      </w:r>
    </w:p>
    <w:p>
      <w:pPr>
        <w:pStyle w:val="ListParagraph"/>
        <w:numPr>
          <w:ilvl w:val="0"/>
          <w:numId w:val="1"/>
        </w:numPr>
        <w:jc w:val="both"/>
        <w:rPr>
          <w:rFonts w:cs="Calibri" w:cstheme="minorHAnsi"/>
        </w:rPr>
      </w:pPr>
      <w:r>
        <w:rPr>
          <w:rFonts w:cs="Calibri" w:cstheme="minorHAnsi"/>
        </w:rPr>
        <w:t>testnevelő tanár, nappali, TTK, 30 hallgató</w:t>
      </w:r>
    </w:p>
    <w:p>
      <w:pPr>
        <w:pStyle w:val="ListParagraph"/>
        <w:numPr>
          <w:ilvl w:val="0"/>
          <w:numId w:val="1"/>
        </w:numPr>
        <w:jc w:val="both"/>
        <w:rPr>
          <w:rFonts w:cs="Calibri" w:cstheme="minorHAnsi"/>
        </w:rPr>
      </w:pPr>
      <w:r>
        <w:rPr>
          <w:rFonts w:eastAsia="Times New Roman" w:cs="Calibri" w:cstheme="minorHAnsi"/>
          <w:color w:val="000000"/>
          <w:lang w:eastAsia="hu-HU"/>
        </w:rPr>
        <w:t>közösségi művelődés tanár, levelező, PK, 26 hallgató</w:t>
      </w:r>
    </w:p>
    <w:p>
      <w:pPr>
        <w:pStyle w:val="ListParagraph"/>
        <w:numPr>
          <w:ilvl w:val="0"/>
          <w:numId w:val="1"/>
        </w:numPr>
        <w:jc w:val="both"/>
        <w:rPr>
          <w:rFonts w:cs="Calibri" w:cstheme="minorHAnsi"/>
        </w:rPr>
      </w:pPr>
      <w:r>
        <w:rPr>
          <w:rFonts w:cs="Calibri" w:cstheme="minorHAnsi"/>
        </w:rPr>
        <w:t>történelemtanár és állampolgári ismeretek tanára, levelező, BTK, 24 hallgató</w:t>
      </w:r>
    </w:p>
    <w:p>
      <w:pPr>
        <w:pStyle w:val="ListParagraph"/>
        <w:numPr>
          <w:ilvl w:val="0"/>
          <w:numId w:val="1"/>
        </w:numPr>
        <w:jc w:val="both"/>
        <w:rPr>
          <w:rFonts w:cs="Calibri" w:cstheme="minorHAnsi"/>
        </w:rPr>
      </w:pPr>
      <w:r>
        <w:rPr>
          <w:rFonts w:eastAsia="Times New Roman" w:cs="Calibri" w:cstheme="minorHAnsi"/>
          <w:color w:val="000000"/>
          <w:lang w:eastAsia="hu-HU"/>
        </w:rPr>
        <w:t>magyartanár, nappali, BTK, 25 hallgató</w:t>
      </w:r>
    </w:p>
    <w:p>
      <w:pPr>
        <w:pStyle w:val="ListParagraph"/>
        <w:numPr>
          <w:ilvl w:val="0"/>
          <w:numId w:val="1"/>
        </w:numPr>
        <w:jc w:val="both"/>
        <w:rPr>
          <w:rFonts w:cs="Calibri" w:cstheme="minorHAnsi"/>
        </w:rPr>
      </w:pPr>
      <w:r>
        <w:rPr>
          <w:rFonts w:eastAsia="Times New Roman" w:cs="Calibri" w:cstheme="minorHAnsi"/>
          <w:color w:val="000000"/>
          <w:lang w:eastAsia="hu-HU"/>
        </w:rPr>
        <w:t>közösségi művelődés tanár, levelező, PK, 19 hallgató</w:t>
      </w:r>
    </w:p>
    <w:p>
      <w:pPr>
        <w:pStyle w:val="Normal"/>
        <w:jc w:val="both"/>
        <w:rPr>
          <w:rFonts w:cs="Calibri" w:cstheme="minorHAnsi"/>
        </w:rPr>
      </w:pPr>
      <w:r>
        <w:rPr>
          <w:rFonts w:cs="Calibri" w:cstheme="minorHAnsi"/>
        </w:rPr>
        <w:t>Az összes szak 43%-a (16 szak) 10 hallgatónál kisebb csoportokkal működik, ebből 6 TTK-s, 6 BTK-s, 2 GTK-s és 2 PK-s szak.</w:t>
      </w:r>
    </w:p>
    <w:p>
      <w:pPr>
        <w:pStyle w:val="Normal"/>
        <w:jc w:val="both"/>
        <w:rPr>
          <w:rFonts w:cs="Calibri" w:cstheme="minorHAnsi"/>
        </w:rPr>
      </w:pPr>
      <w:r>
        <w:rPr>
          <w:rFonts w:cs="Calibri" w:cstheme="minorHAnsi"/>
        </w:rPr>
        <w:t>Az osztatlan tanárszakok karonkénti bontásban kigyűjtött adatai szerint 3 kar mutat minden szempontból emelkedést 2017-ben, ezek a BTK, PK és a TTK, az emelkedő tendenciát 2018-ra mindössze a PK tudta megőrizni.</w:t>
      </w:r>
    </w:p>
    <w:p>
      <w:pPr>
        <w:pStyle w:val="Normal"/>
        <w:jc w:val="both"/>
        <w:rPr>
          <w:rFonts w:cs="Calibri" w:cstheme="minorHAnsi"/>
        </w:rPr>
      </w:pPr>
      <w:r>
        <w:rPr/>
        <w:drawing>
          <wp:inline distT="0" distB="0" distL="0" distR="0">
            <wp:extent cx="5953125" cy="2457450"/>
            <wp:effectExtent l="0" t="0" r="0" b="0"/>
            <wp:docPr id="3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Normal"/>
        <w:jc w:val="both"/>
        <w:rPr>
          <w:rFonts w:cs="Calibri" w:cstheme="minorHAnsi"/>
        </w:rPr>
      </w:pPr>
      <w:r>
        <w:rPr>
          <w:rFonts w:cs="Calibri" w:cstheme="minorHAnsi"/>
        </w:rPr>
        <w:t>A BTK osztatlan tanárszakjára jelentkezők összlétszáma 2015-ről, 2017-re megkétszereződik, az első helyes megjelölések és a felvett hallgatók aránya is 49%-os növekedést jelez.  2018-ra 10%-os csökkenés látható az előző évi adatokhoz képest. Itt a leendő hallgatók nagyobb arányban választják a nappali tagozatot, átlagosan 65%-ban.</w:t>
      </w:r>
    </w:p>
    <w:p>
      <w:pPr>
        <w:pStyle w:val="Normal"/>
        <w:jc w:val="both"/>
        <w:rPr>
          <w:rFonts w:cs="Calibri" w:cstheme="minorHAnsi"/>
        </w:rPr>
      </w:pPr>
      <w:r>
        <w:rPr>
          <w:rFonts w:cs="Calibri" w:cstheme="minorHAnsi"/>
        </w:rPr>
        <w:t>A PK adott szakjaira jelentkezők összlétszáma a fenti időintervallumban 2,3 szoros, az első helyes jelentkezések majdnem 3,5-szeres növekedést mutatnak. Itt 2015-ben a nappalis és levelezős hallgatók aránya: 61-39, mely 2018-ra 48-52.</w:t>
      </w:r>
    </w:p>
    <w:p>
      <w:pPr>
        <w:pStyle w:val="Normal"/>
        <w:jc w:val="both"/>
        <w:rPr>
          <w:rFonts w:cs="Calibri" w:cstheme="minorHAnsi"/>
        </w:rPr>
      </w:pPr>
      <w:r>
        <w:rPr>
          <w:rFonts w:cs="Calibri" w:cstheme="minorHAnsi"/>
        </w:rPr>
        <w:t>A TTK (osztatlan) tanárszakjaira 48%-kal jelentkeztek többen 2017-ben, mint 2 évvel ezelőtt, az első helyes jelentkezések 45%-kal, a felvettek száma pedig több, mint kétszeresére nőtt. Itt a nappali és levelező tagozat arány 2015-ben 59-41%, míg 2018-ben 31-60%.</w:t>
      </w:r>
    </w:p>
    <w:p>
      <w:pPr>
        <w:pStyle w:val="Normal"/>
        <w:jc w:val="both"/>
        <w:rPr/>
      </w:pPr>
      <w:r>
        <w:rPr>
          <w:rFonts w:cs="Calibri" w:cstheme="minorHAnsi"/>
        </w:rPr>
        <w:t>A GTK egyetlen osztatlan tanárszakjával (közgazdásztanár; vállalkozási ismeretek) mutat csökkenést minden tekintetben, összjelentkezői létszámot illetően 7,5%-os, első helyes jelentkezések 1/3-ára csökkentek, a felvettek létszáma több, mint 4-re csökkent.</w:t>
      </w:r>
      <w:r>
        <w:br w:type="page"/>
      </w:r>
    </w:p>
    <w:p>
      <w:pPr>
        <w:pStyle w:val="Heading2"/>
        <w:rPr>
          <w:b/>
          <w:b/>
          <w:sz w:val="32"/>
          <w:szCs w:val="32"/>
        </w:rPr>
      </w:pPr>
      <w:bookmarkStart w:id="20" w:name="_Toc4068124"/>
      <w:r>
        <w:rPr>
          <w:b/>
          <w:sz w:val="32"/>
          <w:szCs w:val="32"/>
        </w:rPr>
        <w:t>Összefoglalás</w:t>
      </w:r>
      <w:bookmarkEnd w:id="20"/>
      <w:r>
        <w:rPr>
          <w:b/>
          <w:sz w:val="32"/>
          <w:szCs w:val="32"/>
        </w:rPr>
        <w:t xml:space="preserve"> </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t>Az előző évhez képest 4%-kal többen, összesen 6273-an jelentkeztek a szeptemberben induló képzésekre az Eszterházy Károly Egyetemen. Az Oktatási Hivatal 11 810 jelentkezést regisztrált a felsőoktatási szakképzésekre, az alap- és osztatlan, valamint a mesterképzésre jelentkezettek körében. Az elsőhelyes jelentkezések száma 6%-kal növekedett, 3546 jelentkező tette első helyre az egyetemet. Így az EKE a magyarországi felsőoktatási intézmények rangsorában a tizenharmadik.</w:t>
      </w:r>
    </w:p>
    <w:p>
      <w:pPr>
        <w:pStyle w:val="Normal"/>
        <w:jc w:val="both"/>
        <w:rPr>
          <w:rFonts w:cs="Calibri" w:cstheme="minorHAnsi"/>
        </w:rPr>
      </w:pPr>
      <w:r>
        <w:rPr>
          <w:rFonts w:cs="Calibri" w:cstheme="minorHAnsi"/>
        </w:rPr>
        <w:t>A jelentkezések 48%-a nappali tagozatra érkezett. A legnépszerűbb képzési szint az alapképzés 8113 jelentkezéssel. Osztatlan tanárképzésre 980, mesterképzésre 983 jelentkezés érkezett. A felsőoktatási szakképzéseket 1338 alkalommal jelölték meg a jelentkezők.</w:t>
      </w:r>
    </w:p>
    <w:p>
      <w:pPr>
        <w:pStyle w:val="Normal"/>
        <w:jc w:val="both"/>
        <w:rPr/>
      </w:pPr>
      <w:r>
        <w:rPr/>
        <w:t xml:space="preserve">Intézményünkbe az első helyes jelentkezések száma folyamatosan nő, 2015 és 2018 között 10%-kal emelkedett még úgy is, hogy 2015-ben a KRF és a SZIE-ABPK másik intézményként működött. Az összjelentkezői létszám 2016-ban volt a legmagasabb, 12215 fővel. Folyamatos növekedést mutat a felvettek létszáma, 2018-ban 2386 fő nyert felvételt, ez 14%-kos növekedés a 2017-es évhez képest (2097 fő), 2015-18 között 43,5%-os az emelkedés (2015-ben 1662 felvett hallgató volt)! </w:t>
      </w:r>
    </w:p>
    <w:p>
      <w:pPr>
        <w:pStyle w:val="Normal"/>
        <w:jc w:val="both"/>
        <w:rPr/>
      </w:pPr>
      <w:r>
        <w:rPr/>
        <w:t>A fentebb bemutatott kari elemzések mellett teljes képet, ezek összevetése adhat. Elmondható, hogy 2016-ban volt a legmagasabb jelentkezői létszám az intézménybe, amikor 12215 fő jelentkezett az Eszterházy Károly Egyetemre, ezzel párhuzamosan szintén valósult meg a legtöbb felvétel, így ebben az évben 2187 felvett hallgatója lett az egyetemnek. Örvendetes, hogy 2015-18 között folyamatosan növekszik az intézményt első helyen megjelölő jelentkezések száma, az adott időtávon 43%-kos a növekedés, 2018-ban 3546 fő választotta az EKE-t. Az összes jelentkezői létszám a 2016-os „csúcs”hoz képest 2018-ban 3%-os visszaesést mutat: 11810 fővel.</w:t>
      </w:r>
    </w:p>
    <w:p>
      <w:pPr>
        <w:pStyle w:val="Normal"/>
        <w:jc w:val="both"/>
        <w:rPr/>
      </w:pPr>
      <w:r>
        <w:rPr/>
        <w:t>Képzési szintenkénti jelentkezéseket és felvetteket mutatja be az alábbi táblázat és diagramm:</w:t>
      </w:r>
    </w:p>
    <w:tbl>
      <w:tblPr>
        <w:tblW w:w="88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927"/>
        <w:gridCol w:w="587"/>
        <w:gridCol w:w="648"/>
        <w:gridCol w:w="652"/>
        <w:gridCol w:w="698"/>
        <w:gridCol w:w="648"/>
        <w:gridCol w:w="652"/>
        <w:gridCol w:w="698"/>
        <w:gridCol w:w="647"/>
        <w:gridCol w:w="652"/>
        <w:gridCol w:w="698"/>
        <w:gridCol w:w="648"/>
        <w:gridCol w:w="656"/>
      </w:tblGrid>
      <w:tr>
        <w:trPr>
          <w:trHeight w:val="262" w:hRule="atLeast"/>
        </w:trPr>
        <w:tc>
          <w:tcPr>
            <w:tcW w:w="927" w:type="dxa"/>
            <w:tcBorders>
              <w:top w:val="single" w:sz="4" w:space="0" w:color="000000"/>
              <w:left w:val="single" w:sz="4" w:space="0" w:color="000000"/>
              <w:bottom w:val="single" w:sz="4" w:space="0" w:color="000000"/>
              <w:right w:val="single" w:sz="4" w:space="0" w:color="000000"/>
            </w:tcBorders>
            <w:shd w:color="auto" w:fill="AEAAAA" w:themeFill="background2" w:themeFillShade="bf"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év</w:t>
            </w:r>
          </w:p>
        </w:tc>
        <w:tc>
          <w:tcPr>
            <w:tcW w:w="1887" w:type="dxa"/>
            <w:gridSpan w:val="3"/>
            <w:tcBorders>
              <w:top w:val="single" w:sz="8" w:space="0" w:color="000000"/>
              <w:left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2015</w:t>
            </w:r>
          </w:p>
        </w:tc>
        <w:tc>
          <w:tcPr>
            <w:tcW w:w="1998" w:type="dxa"/>
            <w:gridSpan w:val="3"/>
            <w:tcBorders>
              <w:top w:val="single" w:sz="8"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2016</w:t>
            </w:r>
          </w:p>
        </w:tc>
        <w:tc>
          <w:tcPr>
            <w:tcW w:w="1997" w:type="dxa"/>
            <w:gridSpan w:val="3"/>
            <w:tcBorders>
              <w:top w:val="single" w:sz="8"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2017</w:t>
            </w:r>
          </w:p>
        </w:tc>
        <w:tc>
          <w:tcPr>
            <w:tcW w:w="2002" w:type="dxa"/>
            <w:gridSpan w:val="3"/>
            <w:tcBorders>
              <w:top w:val="single" w:sz="8"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2018</w:t>
            </w:r>
          </w:p>
        </w:tc>
      </w:tr>
      <w:tr>
        <w:trPr>
          <w:trHeight w:val="262" w:hRule="atLeast"/>
        </w:trPr>
        <w:tc>
          <w:tcPr>
            <w:tcW w:w="927" w:type="dxa"/>
            <w:tcBorders>
              <w:top w:val="single" w:sz="4" w:space="0" w:color="000000"/>
              <w:left w:val="single" w:sz="4" w:space="0" w:color="000000"/>
              <w:bottom w:val="single" w:sz="4" w:space="0" w:color="000000"/>
              <w:right w:val="single" w:sz="4" w:space="0" w:color="000000"/>
            </w:tcBorders>
            <w:shd w:color="auto" w:fill="AEAAAA" w:themeFill="background2" w:themeFillShade="bf" w:val="clear"/>
            <w:vAlign w:val="bottom"/>
          </w:tcPr>
          <w:p>
            <w:pPr>
              <w:pStyle w:val="Normal"/>
              <w:spacing w:lineRule="auto" w:line="240" w:before="0" w:after="0"/>
              <w:rPr>
                <w:rFonts w:ascii="Verdana" w:hAnsi="Verdana" w:eastAsia="Times New Roman" w:cs="Calibri"/>
                <w:b/>
                <w:b/>
                <w:bCs/>
                <w:color w:val="000000"/>
                <w:sz w:val="20"/>
                <w:szCs w:val="20"/>
                <w:lang w:eastAsia="hu-HU"/>
              </w:rPr>
            </w:pPr>
            <w:r>
              <w:rPr>
                <w:rFonts w:eastAsia="Times New Roman" w:cs="Calibri" w:ascii="Verdana" w:hAnsi="Verdana"/>
                <w:b/>
                <w:bCs/>
                <w:color w:val="000000"/>
                <w:sz w:val="20"/>
                <w:szCs w:val="20"/>
                <w:lang w:eastAsia="hu-HU"/>
              </w:rPr>
            </w:r>
          </w:p>
        </w:tc>
        <w:tc>
          <w:tcPr>
            <w:tcW w:w="587" w:type="dxa"/>
            <w:tcBorders>
              <w:top w:val="single" w:sz="8" w:space="0" w:color="000000"/>
              <w:left w:val="single" w:sz="4"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2"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2"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7"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2"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6" w:type="dxa"/>
            <w:tcBorders>
              <w:top w:val="single" w:sz="8" w:space="0" w:color="000000"/>
              <w:bottom w:val="single" w:sz="4" w:space="0" w:color="000000"/>
              <w:right w:val="single" w:sz="8" w:space="0" w:color="000000"/>
            </w:tcBorders>
            <w:shd w:color="auto" w:fill="AEAAAA" w:themeFill="background2" w:themeFillShade="bf"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r>
      <w:tr>
        <w:trPr>
          <w:trHeight w:val="250" w:hRule="atLeast"/>
        </w:trPr>
        <w:tc>
          <w:tcPr>
            <w:tcW w:w="927"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Alap</w:t>
            </w:r>
          </w:p>
        </w:tc>
        <w:tc>
          <w:tcPr>
            <w:tcW w:w="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7082</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1821</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1081</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8897</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2309</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1394</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7454</w:t>
            </w:r>
          </w:p>
        </w:tc>
        <w:tc>
          <w:tcPr>
            <w:tcW w:w="64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2095</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1131</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8113</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2404</w:t>
            </w:r>
          </w:p>
        </w:tc>
        <w:tc>
          <w:tcPr>
            <w:tcW w:w="6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76933C"/>
                <w:lang w:eastAsia="hu-HU"/>
              </w:rPr>
            </w:pPr>
            <w:r>
              <w:rPr>
                <w:rFonts w:eastAsia="Times New Roman" w:cs="Calibri"/>
                <w:b/>
                <w:bCs/>
                <w:color w:val="76933C"/>
                <w:lang w:eastAsia="hu-HU"/>
              </w:rPr>
              <w:t>1457</w:t>
            </w:r>
          </w:p>
        </w:tc>
      </w:tr>
      <w:tr>
        <w:trPr>
          <w:trHeight w:val="250" w:hRule="atLeast"/>
        </w:trPr>
        <w:tc>
          <w:tcPr>
            <w:tcW w:w="927"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Mester</w:t>
            </w:r>
          </w:p>
        </w:tc>
        <w:tc>
          <w:tcPr>
            <w:tcW w:w="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298</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106</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68</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355</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127</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83</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351</w:t>
            </w:r>
          </w:p>
        </w:tc>
        <w:tc>
          <w:tcPr>
            <w:tcW w:w="64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144</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81</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403</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158</w:t>
            </w:r>
          </w:p>
        </w:tc>
        <w:tc>
          <w:tcPr>
            <w:tcW w:w="6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76933C"/>
                <w:lang w:eastAsia="hu-HU"/>
              </w:rPr>
            </w:pPr>
            <w:r>
              <w:rPr>
                <w:rFonts w:eastAsia="Times New Roman" w:cs="Calibri"/>
                <w:b/>
                <w:bCs/>
                <w:color w:val="76933C"/>
                <w:lang w:eastAsia="hu-HU"/>
              </w:rPr>
              <w:t>300</w:t>
            </w:r>
          </w:p>
        </w:tc>
      </w:tr>
      <w:tr>
        <w:trPr>
          <w:trHeight w:val="250" w:hRule="atLeast"/>
        </w:trPr>
        <w:tc>
          <w:tcPr>
            <w:tcW w:w="927"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Osztatlan</w:t>
            </w:r>
          </w:p>
        </w:tc>
        <w:tc>
          <w:tcPr>
            <w:tcW w:w="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1094</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342</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245</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1526</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478</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359</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2252</w:t>
            </w:r>
          </w:p>
        </w:tc>
        <w:tc>
          <w:tcPr>
            <w:tcW w:w="64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753</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520</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1956</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692</w:t>
            </w:r>
          </w:p>
        </w:tc>
        <w:tc>
          <w:tcPr>
            <w:tcW w:w="6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FF0000"/>
                <w:lang w:eastAsia="hu-HU"/>
              </w:rPr>
            </w:pPr>
            <w:r>
              <w:rPr>
                <w:rFonts w:eastAsia="Times New Roman" w:cs="Calibri"/>
                <w:b/>
                <w:bCs/>
                <w:color w:val="FF0000"/>
                <w:lang w:eastAsia="hu-HU"/>
              </w:rPr>
              <w:t>227</w:t>
            </w:r>
          </w:p>
        </w:tc>
      </w:tr>
      <w:tr>
        <w:trPr>
          <w:trHeight w:val="250" w:hRule="atLeast"/>
        </w:trPr>
        <w:tc>
          <w:tcPr>
            <w:tcW w:w="927"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FOSZ</w:t>
            </w:r>
          </w:p>
        </w:tc>
        <w:tc>
          <w:tcPr>
            <w:tcW w:w="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963</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203</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268</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1437</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317</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351</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1497</w:t>
            </w:r>
          </w:p>
        </w:tc>
        <w:tc>
          <w:tcPr>
            <w:tcW w:w="64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358</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425</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1338</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292</w:t>
            </w:r>
          </w:p>
        </w:tc>
        <w:tc>
          <w:tcPr>
            <w:tcW w:w="6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76933C"/>
                <w:lang w:eastAsia="hu-HU"/>
              </w:rPr>
            </w:pPr>
            <w:r>
              <w:rPr>
                <w:rFonts w:eastAsia="Times New Roman" w:cs="Calibri"/>
                <w:b/>
                <w:bCs/>
                <w:color w:val="FFC000"/>
                <w:lang w:eastAsia="hu-HU"/>
              </w:rPr>
              <w:t>402</w:t>
            </w:r>
          </w:p>
        </w:tc>
      </w:tr>
      <w:tr>
        <w:trPr>
          <w:trHeight w:val="250" w:hRule="atLeast"/>
        </w:trPr>
        <w:tc>
          <w:tcPr>
            <w:tcW w:w="927"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color w:val="000000"/>
                <w:sz w:val="20"/>
                <w:szCs w:val="20"/>
                <w:lang w:eastAsia="hu-HU"/>
              </w:rPr>
            </w:pPr>
            <w:r>
              <w:rPr>
                <w:rFonts w:eastAsia="Times New Roman" w:cs="Calibri"/>
                <w:b/>
                <w:color w:val="000000"/>
                <w:sz w:val="20"/>
                <w:szCs w:val="20"/>
                <w:lang w:eastAsia="hu-HU"/>
              </w:rPr>
              <w:t>Összesen</w:t>
            </w:r>
          </w:p>
        </w:tc>
        <w:tc>
          <w:tcPr>
            <w:tcW w:w="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9437</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2472</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1662</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12215</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3231</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2187</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11554</w:t>
            </w:r>
          </w:p>
        </w:tc>
        <w:tc>
          <w:tcPr>
            <w:tcW w:w="64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3350</w:t>
            </w:r>
          </w:p>
        </w:tc>
        <w:tc>
          <w:tcPr>
            <w:tcW w:w="65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2157</w:t>
            </w:r>
          </w:p>
        </w:tc>
        <w:tc>
          <w:tcPr>
            <w:tcW w:w="69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11810</w:t>
            </w:r>
          </w:p>
        </w:tc>
        <w:tc>
          <w:tcPr>
            <w:tcW w:w="6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3546</w:t>
            </w:r>
          </w:p>
        </w:tc>
        <w:tc>
          <w:tcPr>
            <w:tcW w:w="65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76933C"/>
                <w:lang w:eastAsia="hu-HU"/>
              </w:rPr>
            </w:pPr>
            <w:r>
              <w:rPr>
                <w:rFonts w:eastAsia="Times New Roman" w:cs="Calibri"/>
                <w:b/>
                <w:bCs/>
                <w:color w:val="76933C"/>
                <w:lang w:eastAsia="hu-HU"/>
              </w:rPr>
              <w:t>2386</w:t>
            </w:r>
          </w:p>
        </w:tc>
      </w:tr>
    </w:tbl>
    <w:p>
      <w:pPr>
        <w:pStyle w:val="Normal"/>
        <w:jc w:val="both"/>
        <w:rPr/>
      </w:pPr>
      <w:r>
        <w:rPr/>
      </w:r>
    </w:p>
    <w:p>
      <w:pPr>
        <w:pStyle w:val="Normal"/>
        <w:jc w:val="both"/>
        <w:rPr/>
      </w:pPr>
      <w:r>
        <w:rPr/>
        <w:t>Képzési szintek szerinti adatok a 2018-as alap és pótfelvételi eljárás összesítésével:</w:t>
      </w:r>
    </w:p>
    <w:tbl>
      <w:tblPr>
        <w:tblStyle w:val="Rcsostblzat"/>
        <w:tblW w:w="9062" w:type="dxa"/>
        <w:jc w:val="left"/>
        <w:tblInd w:w="0" w:type="dxa"/>
        <w:tblCellMar>
          <w:top w:w="0" w:type="dxa"/>
          <w:left w:w="108" w:type="dxa"/>
          <w:bottom w:w="0" w:type="dxa"/>
          <w:right w:w="108" w:type="dxa"/>
        </w:tblCellMar>
        <w:tblLook w:noVBand="1" w:val="04a0" w:noHBand="0" w:lastColumn="0" w:firstColumn="1" w:lastRow="0" w:firstRow="1"/>
      </w:tblPr>
      <w:tblGrid>
        <w:gridCol w:w="1963"/>
        <w:gridCol w:w="1766"/>
        <w:gridCol w:w="1902"/>
        <w:gridCol w:w="1783"/>
        <w:gridCol w:w="1648"/>
      </w:tblGrid>
      <w:tr>
        <w:trPr/>
        <w:tc>
          <w:tcPr>
            <w:tcW w:w="1963" w:type="dxa"/>
            <w:tcBorders/>
            <w:shd w:color="auto" w:fill="5B9BD5" w:themeFill="accent1" w:val="clear"/>
          </w:tcPr>
          <w:p>
            <w:pPr>
              <w:pStyle w:val="Normal"/>
              <w:spacing w:lineRule="auto" w:line="240" w:before="0" w:after="0"/>
              <w:jc w:val="both"/>
              <w:rPr/>
            </w:pPr>
            <w:r>
              <w:rPr/>
              <w:t>Kar/Képzési szint</w:t>
            </w:r>
          </w:p>
        </w:tc>
        <w:tc>
          <w:tcPr>
            <w:tcW w:w="1766" w:type="dxa"/>
            <w:tcBorders/>
            <w:shd w:color="auto" w:fill="5B9BD5" w:themeFill="accent1" w:val="clear"/>
          </w:tcPr>
          <w:p>
            <w:pPr>
              <w:pStyle w:val="Normal"/>
              <w:spacing w:lineRule="auto" w:line="240" w:before="0" w:after="0"/>
              <w:jc w:val="both"/>
              <w:rPr/>
            </w:pPr>
            <w:r>
              <w:rPr/>
              <w:t>Alap</w:t>
            </w:r>
          </w:p>
        </w:tc>
        <w:tc>
          <w:tcPr>
            <w:tcW w:w="1902" w:type="dxa"/>
            <w:tcBorders/>
            <w:shd w:color="auto" w:fill="5B9BD5" w:themeFill="accent1" w:val="clear"/>
          </w:tcPr>
          <w:p>
            <w:pPr>
              <w:pStyle w:val="Normal"/>
              <w:spacing w:lineRule="auto" w:line="240" w:before="0" w:after="0"/>
              <w:jc w:val="both"/>
              <w:rPr/>
            </w:pPr>
            <w:r>
              <w:rPr/>
              <w:t>Osztatlan</w:t>
            </w:r>
          </w:p>
        </w:tc>
        <w:tc>
          <w:tcPr>
            <w:tcW w:w="1783" w:type="dxa"/>
            <w:tcBorders/>
            <w:shd w:color="auto" w:fill="5B9BD5" w:themeFill="accent1" w:val="clear"/>
          </w:tcPr>
          <w:p>
            <w:pPr>
              <w:pStyle w:val="Normal"/>
              <w:spacing w:lineRule="auto" w:line="240" w:before="0" w:after="0"/>
              <w:jc w:val="both"/>
              <w:rPr/>
            </w:pPr>
            <w:r>
              <w:rPr/>
              <w:t>FOSZ</w:t>
            </w:r>
          </w:p>
        </w:tc>
        <w:tc>
          <w:tcPr>
            <w:tcW w:w="1648" w:type="dxa"/>
            <w:tcBorders/>
            <w:shd w:color="auto" w:fill="5B9BD5" w:themeFill="accent1" w:val="clear"/>
          </w:tcPr>
          <w:p>
            <w:pPr>
              <w:pStyle w:val="Normal"/>
              <w:spacing w:lineRule="auto" w:line="240" w:before="0" w:after="0"/>
              <w:jc w:val="both"/>
              <w:rPr/>
            </w:pPr>
            <w:r>
              <w:rPr/>
              <w:t>Mester</w:t>
            </w:r>
          </w:p>
        </w:tc>
      </w:tr>
      <w:tr>
        <w:trPr/>
        <w:tc>
          <w:tcPr>
            <w:tcW w:w="1963" w:type="dxa"/>
            <w:tcBorders/>
            <w:shd w:color="auto" w:fill="BFBFBF" w:themeFill="background1" w:themeFillShade="bf" w:val="clear"/>
          </w:tcPr>
          <w:p>
            <w:pPr>
              <w:pStyle w:val="Normal"/>
              <w:spacing w:lineRule="auto" w:line="240" w:before="0" w:after="0"/>
              <w:jc w:val="both"/>
              <w:rPr/>
            </w:pPr>
            <w:r>
              <w:rPr/>
              <w:t>AVK</w:t>
            </w:r>
          </w:p>
        </w:tc>
        <w:tc>
          <w:tcPr>
            <w:tcW w:w="1766" w:type="dxa"/>
            <w:tcBorders/>
            <w:shd w:fill="auto" w:val="clear"/>
          </w:tcPr>
          <w:p>
            <w:pPr>
              <w:pStyle w:val="Normal"/>
              <w:spacing w:lineRule="auto" w:line="240" w:before="0" w:after="0"/>
              <w:jc w:val="both"/>
              <w:rPr/>
            </w:pPr>
            <w:r>
              <w:rPr/>
              <w:t>85</w:t>
            </w:r>
          </w:p>
        </w:tc>
        <w:tc>
          <w:tcPr>
            <w:tcW w:w="1902" w:type="dxa"/>
            <w:tcBorders/>
            <w:shd w:fill="auto" w:val="clear"/>
          </w:tcPr>
          <w:p>
            <w:pPr>
              <w:pStyle w:val="Normal"/>
              <w:spacing w:lineRule="auto" w:line="240" w:before="0" w:after="0"/>
              <w:jc w:val="both"/>
              <w:rPr/>
            </w:pPr>
            <w:r>
              <w:rPr/>
              <w:t>-</w:t>
            </w:r>
          </w:p>
        </w:tc>
        <w:tc>
          <w:tcPr>
            <w:tcW w:w="1783" w:type="dxa"/>
            <w:tcBorders/>
            <w:shd w:fill="auto" w:val="clear"/>
          </w:tcPr>
          <w:p>
            <w:pPr>
              <w:pStyle w:val="Normal"/>
              <w:spacing w:lineRule="auto" w:line="240" w:before="0" w:after="0"/>
              <w:jc w:val="both"/>
              <w:rPr/>
            </w:pPr>
            <w:r>
              <w:rPr/>
              <w:t>58</w:t>
            </w:r>
          </w:p>
        </w:tc>
        <w:tc>
          <w:tcPr>
            <w:tcW w:w="1648" w:type="dxa"/>
            <w:tcBorders/>
            <w:shd w:fill="auto" w:val="clear"/>
          </w:tcPr>
          <w:p>
            <w:pPr>
              <w:pStyle w:val="Normal"/>
              <w:spacing w:lineRule="auto" w:line="240" w:before="0" w:after="0"/>
              <w:jc w:val="both"/>
              <w:rPr/>
            </w:pPr>
            <w:r>
              <w:rPr/>
              <w:t>4</w:t>
            </w:r>
          </w:p>
        </w:tc>
      </w:tr>
      <w:tr>
        <w:trPr/>
        <w:tc>
          <w:tcPr>
            <w:tcW w:w="1963" w:type="dxa"/>
            <w:tcBorders/>
            <w:shd w:color="auto" w:fill="BFBFBF" w:themeFill="background1" w:themeFillShade="bf" w:val="clear"/>
          </w:tcPr>
          <w:p>
            <w:pPr>
              <w:pStyle w:val="Normal"/>
              <w:spacing w:lineRule="auto" w:line="240" w:before="0" w:after="0"/>
              <w:jc w:val="both"/>
              <w:rPr/>
            </w:pPr>
            <w:r>
              <w:rPr/>
              <w:t>BTK</w:t>
            </w:r>
          </w:p>
        </w:tc>
        <w:tc>
          <w:tcPr>
            <w:tcW w:w="1766" w:type="dxa"/>
            <w:tcBorders/>
            <w:shd w:fill="auto" w:val="clear"/>
          </w:tcPr>
          <w:p>
            <w:pPr>
              <w:pStyle w:val="Normal"/>
              <w:spacing w:lineRule="auto" w:line="240" w:before="0" w:after="0"/>
              <w:jc w:val="both"/>
              <w:rPr/>
            </w:pPr>
            <w:r>
              <w:rPr/>
              <w:t>218</w:t>
            </w:r>
          </w:p>
        </w:tc>
        <w:tc>
          <w:tcPr>
            <w:tcW w:w="1902" w:type="dxa"/>
            <w:tcBorders/>
            <w:shd w:fill="auto" w:val="clear"/>
          </w:tcPr>
          <w:p>
            <w:pPr>
              <w:pStyle w:val="Normal"/>
              <w:spacing w:lineRule="auto" w:line="240" w:before="0" w:after="0"/>
              <w:jc w:val="both"/>
              <w:rPr/>
            </w:pPr>
            <w:r>
              <w:rPr/>
              <w:t>102</w:t>
            </w:r>
          </w:p>
        </w:tc>
        <w:tc>
          <w:tcPr>
            <w:tcW w:w="1783" w:type="dxa"/>
            <w:tcBorders/>
            <w:shd w:fill="auto" w:val="clear"/>
          </w:tcPr>
          <w:p>
            <w:pPr>
              <w:pStyle w:val="Normal"/>
              <w:spacing w:lineRule="auto" w:line="240" w:before="0" w:after="0"/>
              <w:jc w:val="both"/>
              <w:rPr/>
            </w:pPr>
            <w:r>
              <w:rPr/>
              <w:t>44</w:t>
            </w:r>
          </w:p>
        </w:tc>
        <w:tc>
          <w:tcPr>
            <w:tcW w:w="1648" w:type="dxa"/>
            <w:tcBorders/>
            <w:shd w:fill="auto" w:val="clear"/>
          </w:tcPr>
          <w:p>
            <w:pPr>
              <w:pStyle w:val="Normal"/>
              <w:spacing w:lineRule="auto" w:line="240" w:before="0" w:after="0"/>
              <w:jc w:val="both"/>
              <w:rPr/>
            </w:pPr>
            <w:r>
              <w:rPr/>
              <w:t>109</w:t>
            </w:r>
          </w:p>
        </w:tc>
      </w:tr>
      <w:tr>
        <w:trPr/>
        <w:tc>
          <w:tcPr>
            <w:tcW w:w="1963" w:type="dxa"/>
            <w:tcBorders/>
            <w:shd w:color="auto" w:fill="BFBFBF" w:themeFill="background1" w:themeFillShade="bf" w:val="clear"/>
          </w:tcPr>
          <w:p>
            <w:pPr>
              <w:pStyle w:val="Normal"/>
              <w:spacing w:lineRule="auto" w:line="240" w:before="0" w:after="0"/>
              <w:jc w:val="both"/>
              <w:rPr/>
            </w:pPr>
            <w:r>
              <w:rPr/>
              <w:t>GTK</w:t>
            </w:r>
          </w:p>
        </w:tc>
        <w:tc>
          <w:tcPr>
            <w:tcW w:w="1766" w:type="dxa"/>
            <w:tcBorders/>
            <w:shd w:fill="auto" w:val="clear"/>
          </w:tcPr>
          <w:p>
            <w:pPr>
              <w:pStyle w:val="Normal"/>
              <w:spacing w:lineRule="auto" w:line="240" w:before="0" w:after="0"/>
              <w:jc w:val="both"/>
              <w:rPr/>
            </w:pPr>
            <w:r>
              <w:rPr/>
              <w:t>254</w:t>
            </w:r>
          </w:p>
        </w:tc>
        <w:tc>
          <w:tcPr>
            <w:tcW w:w="1902" w:type="dxa"/>
            <w:tcBorders/>
            <w:shd w:fill="auto" w:val="clear"/>
          </w:tcPr>
          <w:p>
            <w:pPr>
              <w:pStyle w:val="Normal"/>
              <w:spacing w:lineRule="auto" w:line="240" w:before="0" w:after="0"/>
              <w:jc w:val="both"/>
              <w:rPr/>
            </w:pPr>
            <w:r>
              <w:rPr/>
              <w:t>1</w:t>
            </w:r>
          </w:p>
        </w:tc>
        <w:tc>
          <w:tcPr>
            <w:tcW w:w="1783" w:type="dxa"/>
            <w:tcBorders/>
            <w:shd w:fill="auto" w:val="clear"/>
          </w:tcPr>
          <w:p>
            <w:pPr>
              <w:pStyle w:val="Normal"/>
              <w:spacing w:lineRule="auto" w:line="240" w:before="0" w:after="0"/>
              <w:jc w:val="both"/>
              <w:rPr/>
            </w:pPr>
            <w:r>
              <w:rPr/>
              <w:t>258</w:t>
            </w:r>
          </w:p>
        </w:tc>
        <w:tc>
          <w:tcPr>
            <w:tcW w:w="1648" w:type="dxa"/>
            <w:tcBorders/>
            <w:shd w:fill="auto" w:val="clear"/>
          </w:tcPr>
          <w:p>
            <w:pPr>
              <w:pStyle w:val="Normal"/>
              <w:spacing w:lineRule="auto" w:line="240" w:before="0" w:after="0"/>
              <w:jc w:val="both"/>
              <w:rPr/>
            </w:pPr>
            <w:r>
              <w:rPr/>
              <w:t>52</w:t>
            </w:r>
          </w:p>
        </w:tc>
      </w:tr>
      <w:tr>
        <w:trPr/>
        <w:tc>
          <w:tcPr>
            <w:tcW w:w="1963" w:type="dxa"/>
            <w:tcBorders/>
            <w:shd w:color="auto" w:fill="BFBFBF" w:themeFill="background1" w:themeFillShade="bf" w:val="clear"/>
          </w:tcPr>
          <w:p>
            <w:pPr>
              <w:pStyle w:val="Normal"/>
              <w:spacing w:lineRule="auto" w:line="240" w:before="0" w:after="0"/>
              <w:jc w:val="both"/>
              <w:rPr/>
            </w:pPr>
            <w:r>
              <w:rPr/>
              <w:t>PK</w:t>
            </w:r>
          </w:p>
        </w:tc>
        <w:tc>
          <w:tcPr>
            <w:tcW w:w="1766" w:type="dxa"/>
            <w:tcBorders/>
            <w:shd w:fill="auto" w:val="clear"/>
          </w:tcPr>
          <w:p>
            <w:pPr>
              <w:pStyle w:val="Normal"/>
              <w:spacing w:lineRule="auto" w:line="240" w:before="0" w:after="0"/>
              <w:jc w:val="both"/>
              <w:rPr/>
            </w:pPr>
            <w:r>
              <w:rPr/>
              <w:t>655</w:t>
            </w:r>
          </w:p>
        </w:tc>
        <w:tc>
          <w:tcPr>
            <w:tcW w:w="1902" w:type="dxa"/>
            <w:tcBorders/>
            <w:shd w:fill="auto" w:val="clear"/>
          </w:tcPr>
          <w:p>
            <w:pPr>
              <w:pStyle w:val="Normal"/>
              <w:spacing w:lineRule="auto" w:line="240" w:before="0" w:after="0"/>
              <w:jc w:val="both"/>
              <w:rPr/>
            </w:pPr>
            <w:r>
              <w:rPr/>
              <w:t>53</w:t>
            </w:r>
          </w:p>
        </w:tc>
        <w:tc>
          <w:tcPr>
            <w:tcW w:w="1783" w:type="dxa"/>
            <w:tcBorders/>
            <w:shd w:fill="auto" w:val="clear"/>
          </w:tcPr>
          <w:p>
            <w:pPr>
              <w:pStyle w:val="Normal"/>
              <w:spacing w:lineRule="auto" w:line="240" w:before="0" w:after="0"/>
              <w:jc w:val="both"/>
              <w:rPr/>
            </w:pPr>
            <w:r>
              <w:rPr/>
              <w:t>-</w:t>
            </w:r>
          </w:p>
        </w:tc>
        <w:tc>
          <w:tcPr>
            <w:tcW w:w="1648" w:type="dxa"/>
            <w:tcBorders/>
            <w:shd w:fill="auto" w:val="clear"/>
          </w:tcPr>
          <w:p>
            <w:pPr>
              <w:pStyle w:val="Normal"/>
              <w:spacing w:lineRule="auto" w:line="240" w:before="0" w:after="0"/>
              <w:jc w:val="both"/>
              <w:rPr/>
            </w:pPr>
            <w:r>
              <w:rPr/>
              <w:t>28</w:t>
            </w:r>
          </w:p>
        </w:tc>
      </w:tr>
      <w:tr>
        <w:trPr/>
        <w:tc>
          <w:tcPr>
            <w:tcW w:w="1963" w:type="dxa"/>
            <w:tcBorders/>
            <w:shd w:color="auto" w:fill="BFBFBF" w:themeFill="background1" w:themeFillShade="bf" w:val="clear"/>
          </w:tcPr>
          <w:p>
            <w:pPr>
              <w:pStyle w:val="Normal"/>
              <w:spacing w:lineRule="auto" w:line="240" w:before="0" w:after="0"/>
              <w:jc w:val="both"/>
              <w:rPr/>
            </w:pPr>
            <w:r>
              <w:rPr/>
              <w:t>TTK</w:t>
            </w:r>
          </w:p>
        </w:tc>
        <w:tc>
          <w:tcPr>
            <w:tcW w:w="1766" w:type="dxa"/>
            <w:tcBorders/>
            <w:shd w:fill="auto" w:val="clear"/>
          </w:tcPr>
          <w:p>
            <w:pPr>
              <w:pStyle w:val="Normal"/>
              <w:spacing w:lineRule="auto" w:line="240" w:before="0" w:after="0"/>
              <w:jc w:val="both"/>
              <w:rPr/>
            </w:pPr>
            <w:r>
              <w:rPr/>
              <w:t>367</w:t>
            </w:r>
          </w:p>
        </w:tc>
        <w:tc>
          <w:tcPr>
            <w:tcW w:w="1902" w:type="dxa"/>
            <w:tcBorders/>
            <w:shd w:fill="auto" w:val="clear"/>
          </w:tcPr>
          <w:p>
            <w:pPr>
              <w:pStyle w:val="Normal"/>
              <w:spacing w:lineRule="auto" w:line="240" w:before="0" w:after="0"/>
              <w:jc w:val="both"/>
              <w:rPr/>
            </w:pPr>
            <w:r>
              <w:rPr/>
              <w:t>82</w:t>
            </w:r>
          </w:p>
        </w:tc>
        <w:tc>
          <w:tcPr>
            <w:tcW w:w="1783" w:type="dxa"/>
            <w:tcBorders/>
            <w:shd w:fill="auto" w:val="clear"/>
          </w:tcPr>
          <w:p>
            <w:pPr>
              <w:pStyle w:val="Normal"/>
              <w:spacing w:lineRule="auto" w:line="240" w:before="0" w:after="0"/>
              <w:jc w:val="both"/>
              <w:rPr/>
            </w:pPr>
            <w:r>
              <w:rPr/>
              <w:t>87</w:t>
            </w:r>
          </w:p>
        </w:tc>
        <w:tc>
          <w:tcPr>
            <w:tcW w:w="1648" w:type="dxa"/>
            <w:tcBorders/>
            <w:shd w:fill="auto" w:val="clear"/>
          </w:tcPr>
          <w:p>
            <w:pPr>
              <w:pStyle w:val="Normal"/>
              <w:spacing w:lineRule="auto" w:line="240" w:before="0" w:after="0"/>
              <w:jc w:val="both"/>
              <w:rPr/>
            </w:pPr>
            <w:r>
              <w:rPr/>
              <w:t>142</w:t>
            </w:r>
          </w:p>
        </w:tc>
      </w:tr>
      <w:tr>
        <w:trPr/>
        <w:tc>
          <w:tcPr>
            <w:tcW w:w="1963" w:type="dxa"/>
            <w:tcBorders/>
            <w:shd w:color="auto" w:fill="BFBFBF" w:themeFill="background1" w:themeFillShade="bf" w:val="clear"/>
          </w:tcPr>
          <w:p>
            <w:pPr>
              <w:pStyle w:val="Normal"/>
              <w:spacing w:lineRule="auto" w:line="240" w:before="0" w:after="0"/>
              <w:jc w:val="both"/>
              <w:rPr>
                <w:b/>
                <w:b/>
              </w:rPr>
            </w:pPr>
            <w:r>
              <w:rPr>
                <w:b/>
              </w:rPr>
              <w:t>Összesen 2018</w:t>
            </w:r>
          </w:p>
        </w:tc>
        <w:tc>
          <w:tcPr>
            <w:tcW w:w="1766" w:type="dxa"/>
            <w:tcBorders/>
            <w:shd w:fill="auto" w:val="clear"/>
          </w:tcPr>
          <w:p>
            <w:pPr>
              <w:pStyle w:val="Normal"/>
              <w:spacing w:lineRule="auto" w:line="240" w:before="0" w:after="0"/>
              <w:jc w:val="both"/>
              <w:rPr>
                <w:b/>
                <w:b/>
              </w:rPr>
            </w:pPr>
            <w:r>
              <w:rPr>
                <w:b/>
              </w:rPr>
              <w:t>1579</w:t>
            </w:r>
          </w:p>
        </w:tc>
        <w:tc>
          <w:tcPr>
            <w:tcW w:w="1902" w:type="dxa"/>
            <w:tcBorders/>
            <w:shd w:fill="auto" w:val="clear"/>
          </w:tcPr>
          <w:p>
            <w:pPr>
              <w:pStyle w:val="Normal"/>
              <w:spacing w:lineRule="auto" w:line="240" w:before="0" w:after="0"/>
              <w:jc w:val="both"/>
              <w:rPr>
                <w:b/>
                <w:b/>
              </w:rPr>
            </w:pPr>
            <w:r>
              <w:rPr>
                <w:b/>
              </w:rPr>
              <w:t>238</w:t>
            </w:r>
          </w:p>
        </w:tc>
        <w:tc>
          <w:tcPr>
            <w:tcW w:w="1783" w:type="dxa"/>
            <w:tcBorders/>
            <w:shd w:fill="auto" w:val="clear"/>
          </w:tcPr>
          <w:p>
            <w:pPr>
              <w:pStyle w:val="Normal"/>
              <w:spacing w:lineRule="auto" w:line="240" w:before="0" w:after="0"/>
              <w:jc w:val="both"/>
              <w:rPr>
                <w:b/>
                <w:b/>
              </w:rPr>
            </w:pPr>
            <w:r>
              <w:rPr>
                <w:b/>
              </w:rPr>
              <w:t>447</w:t>
            </w:r>
          </w:p>
        </w:tc>
        <w:tc>
          <w:tcPr>
            <w:tcW w:w="1648" w:type="dxa"/>
            <w:tcBorders/>
            <w:shd w:fill="auto" w:val="clear"/>
          </w:tcPr>
          <w:p>
            <w:pPr>
              <w:pStyle w:val="Normal"/>
              <w:spacing w:lineRule="auto" w:line="240" w:before="0" w:after="0"/>
              <w:jc w:val="both"/>
              <w:rPr>
                <w:b/>
                <w:b/>
              </w:rPr>
            </w:pPr>
            <w:r>
              <w:rPr>
                <w:b/>
              </w:rPr>
              <w:t>335</w:t>
            </w:r>
          </w:p>
        </w:tc>
      </w:tr>
    </w:tbl>
    <w:p>
      <w:pPr>
        <w:pStyle w:val="Normal"/>
        <w:jc w:val="both"/>
        <w:rPr/>
      </w:pPr>
      <w:r>
        <w:rPr/>
      </w:r>
    </w:p>
    <w:p>
      <w:pPr>
        <w:pStyle w:val="Normal"/>
        <w:jc w:val="both"/>
        <w:rPr/>
      </w:pPr>
      <w:r>
        <w:rPr/>
      </w:r>
    </w:p>
    <w:p>
      <w:pPr>
        <w:pStyle w:val="Normal"/>
        <w:jc w:val="both"/>
        <w:rPr/>
      </w:pPr>
      <w:r>
        <w:rPr/>
        <w:drawing>
          <wp:inline distT="0" distB="0" distL="0" distR="0">
            <wp:extent cx="6038850" cy="4953000"/>
            <wp:effectExtent l="0" t="0" r="0" b="0"/>
            <wp:docPr id="3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Normal"/>
        <w:jc w:val="both"/>
        <w:rPr/>
      </w:pPr>
      <w:r>
        <w:rPr/>
      </w:r>
    </w:p>
    <w:p>
      <w:pPr>
        <w:pStyle w:val="Normal"/>
        <w:jc w:val="both"/>
        <w:rPr/>
      </w:pPr>
      <w:r>
        <w:rPr/>
        <w:t>Az intézmény legkedveltebb képzési szintje az alapképzés, ez 2018-ban a teljes oktatási spektrum 69%-át adja (8113 jelentkező) – mely valószínűsíthetően az első diplomát szerzők nagy arányával társul. Ez a felvételt nyertek megoszlásában is hasonlóan a legnagyobb szeletet jelenti – 61%, 1457 hallgató. A második a jelentkezők körében az osztatlan tanárszakok választása 17%-kal, 1956 megjelöléssel, majd a FOSZ képzések 1338 választással és a mester szakok, 403 jelentkezővel.</w:t>
      </w:r>
    </w:p>
    <w:p>
      <w:pPr>
        <w:pStyle w:val="Normal"/>
        <w:jc w:val="both"/>
        <w:rPr/>
      </w:pPr>
      <w:r>
        <w:rPr/>
        <w:t>Az alapképzési szintet választók 2016-ban voltak a legtöbben, ekkor 8897 jelentkezés történt ide, míg 2018-ban az első helyes jelentkezések kiemelkedőek 2404 leendő hallgató szeretne ezen szakok valamelyikén tanulni. Karok közül a PK mutat folyamatos növekedést, 2016-18 között mintegy 10%-ot, az összejelentkezői létszám tekintetében.</w:t>
      </w:r>
    </w:p>
    <w:p>
      <w:pPr>
        <w:pStyle w:val="Normal"/>
        <w:jc w:val="both"/>
        <w:rPr/>
      </w:pPr>
      <w:r>
        <w:rPr/>
        <w:t>A mesterszakokat választók aránya úgy intézményi, mint karonkénti bontásban is kiegyensúlyozott 2-3%-os. Itt a GTK által meghirdetett szakok egyre sikeresebbek, ahol 2016-2018 között 60%-kal nőtt a jelentkezői létszám.</w:t>
      </w:r>
    </w:p>
    <w:p>
      <w:pPr>
        <w:pStyle w:val="Normal"/>
        <w:jc w:val="both"/>
        <w:rPr/>
      </w:pPr>
      <w:r>
        <w:rPr/>
        <w:t>Az osztatlan tanárszakok választása esetében 2015-18 között 5%-os növekedést mutat az ide jelentkezők aránya (az alapképzést választók kárára). Ezen a területen a BTK a kiemelkedő: 75%-os növekedés az összjelentkezők számában, és kétszeres növekedés az első helyes megjelölésekben. Itt a TTK-ra felvételt nyert hallgatói létszám mutat kétszeres növekedést 2015-17 viszonylatában – 2017-ben 240 felvett hallgatóval.</w:t>
      </w:r>
    </w:p>
    <w:p>
      <w:pPr>
        <w:pStyle w:val="Normal"/>
        <w:jc w:val="both"/>
        <w:rPr/>
      </w:pPr>
      <w:r>
        <w:rPr/>
        <w:t xml:space="preserve">A FOSZ képzések legsikeresebb éve 2017 volt 1497 jelentkezővel, 358 első helyes megjelöléssel és 425 felvett hallgatóval. Közöttük a legnagyobb számú jelentkező 2017-ben a GTK-ra volt (1030 fő) ehhez képest 2018-ban 20%-os visszaesés látható. </w:t>
      </w:r>
    </w:p>
    <w:p>
      <w:pPr>
        <w:pStyle w:val="Normal"/>
        <w:jc w:val="both"/>
        <w:rPr/>
      </w:pPr>
      <w:r>
        <w:rPr/>
        <w:t>A felvettek képzési szintje és a jelentkezők képzési szint választása közötti arányok nem ugyanazt mutatják. Az intézmény felvettjei alap (61%), FOSZ (17%), mester (13%), osztatlan (9%) rangsort képeznek. Az osztatlan tanárszakok kivételével, minden képzési szintre több hallgató nyert felvételt. Nemcsak az alapszakra, de mesterszakra jelentkezők is növekednek, kiemelkedő a tavalyi (2017-es) évhez képest majdnem négyszer többen tanulnak ezen a képzési szinten. Az osztatlan tanárszakra felvettek létszáma (227 fő) pedig több, mint kétszeresevél csökkent az előző évhez képest (2017: 520 fő – a képzési szint csúcsa). A FOSZ szakokra felvettek száma (402 fő) is kis visszaesést mutat a 2017-es, legmagasabb felvett hallgatói létszámhoz (2017: 425 fő) képest.</w:t>
      </w:r>
    </w:p>
    <w:p>
      <w:pPr>
        <w:pStyle w:val="Normal"/>
        <w:jc w:val="both"/>
        <w:rPr/>
      </w:pPr>
      <w:r>
        <w:rPr/>
        <w:drawing>
          <wp:inline distT="0" distB="0" distL="0" distR="0">
            <wp:extent cx="5791200" cy="2028825"/>
            <wp:effectExtent l="0" t="0" r="0" b="0"/>
            <wp:docPr id="3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Normal"/>
        <w:jc w:val="both"/>
        <w:rPr/>
      </w:pPr>
      <w:r>
        <w:rPr/>
        <w:drawing>
          <wp:inline distT="0" distB="0" distL="0" distR="0">
            <wp:extent cx="5781675" cy="2162175"/>
            <wp:effectExtent l="0" t="0" r="0" b="0"/>
            <wp:docPr id="3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Normal"/>
        <w:jc w:val="both"/>
        <w:rPr/>
      </w:pPr>
      <w:r>
        <w:rPr/>
        <w:drawing>
          <wp:inline distT="0" distB="0" distL="0" distR="0">
            <wp:extent cx="5800725" cy="2943225"/>
            <wp:effectExtent l="0" t="0" r="0" b="0"/>
            <wp:docPr id="3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Normal"/>
        <w:jc w:val="both"/>
        <w:rPr/>
      </w:pPr>
      <w:r>
        <w:rPr/>
        <w:t>A 2018-as pótfelvételi adatai karok szerint:</w:t>
      </w:r>
    </w:p>
    <w:tbl>
      <w:tblPr>
        <w:tblStyle w:val="Rcsostblzat"/>
        <w:tblW w:w="4252" w:type="dxa"/>
        <w:jc w:val="left"/>
        <w:tblInd w:w="2122" w:type="dxa"/>
        <w:tblCellMar>
          <w:top w:w="0" w:type="dxa"/>
          <w:left w:w="108" w:type="dxa"/>
          <w:bottom w:w="0" w:type="dxa"/>
          <w:right w:w="108" w:type="dxa"/>
        </w:tblCellMar>
        <w:tblLook w:noVBand="1" w:val="04a0" w:noHBand="0" w:lastColumn="0" w:firstColumn="1" w:lastRow="0" w:firstRow="1"/>
      </w:tblPr>
      <w:tblGrid>
        <w:gridCol w:w="2408"/>
        <w:gridCol w:w="1843"/>
      </w:tblGrid>
      <w:tr>
        <w:trPr/>
        <w:tc>
          <w:tcPr>
            <w:tcW w:w="2408" w:type="dxa"/>
            <w:tcBorders/>
            <w:shd w:color="auto" w:fill="C5E0B3" w:themeFill="accent6" w:themeFillTint="66" w:val="clear"/>
          </w:tcPr>
          <w:p>
            <w:pPr>
              <w:pStyle w:val="Normal"/>
              <w:spacing w:lineRule="auto" w:line="240" w:before="0" w:after="0"/>
              <w:jc w:val="both"/>
              <w:rPr/>
            </w:pPr>
            <w:r>
              <w:rPr/>
              <w:t>Kar</w:t>
            </w:r>
          </w:p>
        </w:tc>
        <w:tc>
          <w:tcPr>
            <w:tcW w:w="1843" w:type="dxa"/>
            <w:tcBorders/>
            <w:shd w:color="auto" w:fill="C5E0B3" w:themeFill="accent6" w:themeFillTint="66" w:val="clear"/>
          </w:tcPr>
          <w:p>
            <w:pPr>
              <w:pStyle w:val="Normal"/>
              <w:spacing w:lineRule="auto" w:line="240" w:before="0" w:after="0"/>
              <w:jc w:val="both"/>
              <w:rPr/>
            </w:pPr>
            <w:r>
              <w:rPr/>
              <w:t>Fő</w:t>
            </w:r>
          </w:p>
        </w:tc>
      </w:tr>
      <w:tr>
        <w:trPr/>
        <w:tc>
          <w:tcPr>
            <w:tcW w:w="2408" w:type="dxa"/>
            <w:tcBorders/>
            <w:shd w:fill="auto" w:val="clear"/>
          </w:tcPr>
          <w:p>
            <w:pPr>
              <w:pStyle w:val="Normal"/>
              <w:spacing w:lineRule="auto" w:line="240" w:before="0" w:after="0"/>
              <w:jc w:val="both"/>
              <w:rPr/>
            </w:pPr>
            <w:r>
              <w:rPr/>
              <w:t>EKE-AVK</w:t>
            </w:r>
          </w:p>
        </w:tc>
        <w:tc>
          <w:tcPr>
            <w:tcW w:w="1843" w:type="dxa"/>
            <w:tcBorders/>
            <w:shd w:fill="auto" w:val="clear"/>
          </w:tcPr>
          <w:p>
            <w:pPr>
              <w:pStyle w:val="Normal"/>
              <w:spacing w:lineRule="auto" w:line="240" w:before="0" w:after="0"/>
              <w:jc w:val="both"/>
              <w:rPr/>
            </w:pPr>
            <w:r>
              <w:rPr/>
              <w:t>13</w:t>
            </w:r>
          </w:p>
        </w:tc>
      </w:tr>
      <w:tr>
        <w:trPr/>
        <w:tc>
          <w:tcPr>
            <w:tcW w:w="2408" w:type="dxa"/>
            <w:tcBorders/>
            <w:shd w:fill="auto" w:val="clear"/>
          </w:tcPr>
          <w:p>
            <w:pPr>
              <w:pStyle w:val="Normal"/>
              <w:spacing w:lineRule="auto" w:line="240" w:before="0" w:after="0"/>
              <w:jc w:val="both"/>
              <w:rPr/>
            </w:pPr>
            <w:r>
              <w:rPr/>
              <w:t>EKE-BTK</w:t>
            </w:r>
          </w:p>
        </w:tc>
        <w:tc>
          <w:tcPr>
            <w:tcW w:w="1843" w:type="dxa"/>
            <w:tcBorders/>
            <w:shd w:fill="auto" w:val="clear"/>
          </w:tcPr>
          <w:p>
            <w:pPr>
              <w:pStyle w:val="Normal"/>
              <w:spacing w:lineRule="auto" w:line="240" w:before="0" w:after="0"/>
              <w:jc w:val="both"/>
              <w:rPr/>
            </w:pPr>
            <w:r>
              <w:rPr/>
              <w:t>18</w:t>
            </w:r>
          </w:p>
        </w:tc>
      </w:tr>
      <w:tr>
        <w:trPr/>
        <w:tc>
          <w:tcPr>
            <w:tcW w:w="2408" w:type="dxa"/>
            <w:tcBorders/>
            <w:shd w:fill="auto" w:val="clear"/>
          </w:tcPr>
          <w:p>
            <w:pPr>
              <w:pStyle w:val="Normal"/>
              <w:spacing w:lineRule="auto" w:line="240" w:before="0" w:after="0"/>
              <w:jc w:val="both"/>
              <w:rPr/>
            </w:pPr>
            <w:r>
              <w:rPr/>
              <w:t>EKE-GTK</w:t>
            </w:r>
          </w:p>
        </w:tc>
        <w:tc>
          <w:tcPr>
            <w:tcW w:w="1843" w:type="dxa"/>
            <w:tcBorders/>
            <w:shd w:fill="auto" w:val="clear"/>
          </w:tcPr>
          <w:p>
            <w:pPr>
              <w:pStyle w:val="Normal"/>
              <w:spacing w:lineRule="auto" w:line="240" w:before="0" w:after="0"/>
              <w:jc w:val="both"/>
              <w:rPr/>
            </w:pPr>
            <w:r>
              <w:rPr/>
              <w:t>41</w:t>
            </w:r>
          </w:p>
        </w:tc>
      </w:tr>
      <w:tr>
        <w:trPr/>
        <w:tc>
          <w:tcPr>
            <w:tcW w:w="2408" w:type="dxa"/>
            <w:tcBorders/>
            <w:shd w:fill="auto" w:val="clear"/>
          </w:tcPr>
          <w:p>
            <w:pPr>
              <w:pStyle w:val="Normal"/>
              <w:spacing w:lineRule="auto" w:line="240" w:before="0" w:after="0"/>
              <w:jc w:val="both"/>
              <w:rPr/>
            </w:pPr>
            <w:r>
              <w:rPr/>
              <w:t>EKE-PK</w:t>
            </w:r>
          </w:p>
        </w:tc>
        <w:tc>
          <w:tcPr>
            <w:tcW w:w="1843" w:type="dxa"/>
            <w:tcBorders/>
            <w:shd w:fill="auto" w:val="clear"/>
          </w:tcPr>
          <w:p>
            <w:pPr>
              <w:pStyle w:val="Normal"/>
              <w:spacing w:lineRule="auto" w:line="240" w:before="0" w:after="0"/>
              <w:jc w:val="both"/>
              <w:rPr/>
            </w:pPr>
            <w:r>
              <w:rPr/>
              <w:t>77</w:t>
            </w:r>
          </w:p>
        </w:tc>
      </w:tr>
      <w:tr>
        <w:trPr/>
        <w:tc>
          <w:tcPr>
            <w:tcW w:w="2408" w:type="dxa"/>
            <w:tcBorders/>
            <w:shd w:fill="auto" w:val="clear"/>
          </w:tcPr>
          <w:p>
            <w:pPr>
              <w:pStyle w:val="Normal"/>
              <w:spacing w:lineRule="auto" w:line="240" w:before="0" w:after="0"/>
              <w:jc w:val="both"/>
              <w:rPr/>
            </w:pPr>
            <w:r>
              <w:rPr/>
              <w:t>EKE-TTK</w:t>
            </w:r>
          </w:p>
        </w:tc>
        <w:tc>
          <w:tcPr>
            <w:tcW w:w="1843" w:type="dxa"/>
            <w:tcBorders/>
            <w:shd w:fill="auto" w:val="clear"/>
          </w:tcPr>
          <w:p>
            <w:pPr>
              <w:pStyle w:val="Normal"/>
              <w:spacing w:lineRule="auto" w:line="240" w:before="0" w:after="0"/>
              <w:jc w:val="both"/>
              <w:rPr/>
            </w:pPr>
            <w:r>
              <w:rPr/>
              <w:t>64</w:t>
            </w:r>
          </w:p>
        </w:tc>
      </w:tr>
      <w:tr>
        <w:trPr/>
        <w:tc>
          <w:tcPr>
            <w:tcW w:w="2408" w:type="dxa"/>
            <w:tcBorders/>
            <w:shd w:fill="auto" w:val="clear"/>
          </w:tcPr>
          <w:p>
            <w:pPr>
              <w:pStyle w:val="Normal"/>
              <w:spacing w:lineRule="auto" w:line="240" w:before="0" w:after="0"/>
              <w:jc w:val="both"/>
              <w:rPr>
                <w:b/>
                <w:b/>
              </w:rPr>
            </w:pPr>
            <w:r>
              <w:rPr>
                <w:b/>
              </w:rPr>
              <w:t>Összesen</w:t>
            </w:r>
          </w:p>
        </w:tc>
        <w:tc>
          <w:tcPr>
            <w:tcW w:w="1843" w:type="dxa"/>
            <w:tcBorders/>
            <w:shd w:fill="auto" w:val="clear"/>
          </w:tcPr>
          <w:p>
            <w:pPr>
              <w:pStyle w:val="Normal"/>
              <w:spacing w:lineRule="auto" w:line="240" w:before="0" w:after="0"/>
              <w:jc w:val="both"/>
              <w:rPr>
                <w:b/>
                <w:b/>
              </w:rPr>
            </w:pPr>
            <w:r>
              <w:rPr>
                <w:b/>
              </w:rPr>
              <w:t>213</w:t>
            </w:r>
          </w:p>
        </w:tc>
      </w:tr>
    </w:tbl>
    <w:p>
      <w:pPr>
        <w:pStyle w:val="Normal"/>
        <w:jc w:val="both"/>
        <w:rPr/>
      </w:pPr>
      <w:r>
        <w:rPr/>
      </w:r>
    </w:p>
    <w:p>
      <w:pPr>
        <w:pStyle w:val="Normal"/>
        <w:jc w:val="both"/>
        <w:rPr/>
      </w:pPr>
      <w:r>
        <w:rPr/>
        <w:t>Az alap felvételi eljárás alapján nappali tagozaton 1076, levelezőn 1310 első éves kezdheti meg tanulmányait 2018-ban. Az alábbi ábrákon megmutatjuk a tagozatonkénti, karonkénti, képzési szintenkénti arányokat. A két ábra tanúskodik arról, hogy a nappali tagozaton a GTK rendelkezik a legtöbb felvett hallgatóval, míg levelezőn a PK. A Pedagógiai Kron az alapképzés vezet mindkét tagozati formában 200 fő nappalin, 392 fő levelezőn járhat ide. Emellett látható, hogy a GTK nappali tagozatú FOSZ képzései népszerűbbek, mint a kar egyéb képzési szintjei. A mesterképzések levelező tagozaton a TTK-n (120 fő) és a BTK-n (86 fő) mutatnak kimagasló eredményeket.</w:t>
      </w:r>
    </w:p>
    <w:p>
      <w:pPr>
        <w:pStyle w:val="Normal"/>
        <w:jc w:val="both"/>
        <w:rPr/>
      </w:pPr>
      <w:r>
        <w:rPr/>
        <w:drawing>
          <wp:inline distT="0" distB="0" distL="0" distR="0">
            <wp:extent cx="6191250" cy="3133725"/>
            <wp:effectExtent l="0" t="0" r="0" b="0"/>
            <wp:docPr id="3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Normal"/>
        <w:jc w:val="both"/>
        <w:rPr/>
      </w:pPr>
      <w:r>
        <w:rPr/>
        <w:drawing>
          <wp:inline distT="0" distB="0" distL="0" distR="0">
            <wp:extent cx="6200775" cy="3486150"/>
            <wp:effectExtent l="0" t="0" r="0" b="0"/>
            <wp:docPr id="4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Normal"/>
        <w:jc w:val="both"/>
        <w:rPr/>
      </w:pPr>
      <w:r>
        <w:rPr/>
      </w:r>
    </w:p>
    <w:tbl>
      <w:tblPr>
        <w:tblW w:w="88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noVBand="1" w:val="04a0" w:noHBand="0" w:lastColumn="0" w:firstColumn="1" w:lastRow="0" w:firstRow="1"/>
      </w:tblPr>
      <w:tblGrid>
        <w:gridCol w:w="962"/>
        <w:gridCol w:w="585"/>
        <w:gridCol w:w="646"/>
        <w:gridCol w:w="650"/>
        <w:gridCol w:w="696"/>
        <w:gridCol w:w="646"/>
        <w:gridCol w:w="649"/>
        <w:gridCol w:w="1"/>
        <w:gridCol w:w="695"/>
        <w:gridCol w:w="647"/>
        <w:gridCol w:w="648"/>
        <w:gridCol w:w="2"/>
        <w:gridCol w:w="695"/>
        <w:gridCol w:w="646"/>
        <w:gridCol w:w="648"/>
      </w:tblGrid>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bottom"/>
          </w:tcPr>
          <w:p>
            <w:pPr>
              <w:pStyle w:val="Normal"/>
              <w:spacing w:lineRule="auto" w:line="240" w:before="0" w:after="0"/>
              <w:jc w:val="center"/>
              <w:rPr>
                <w:rFonts w:ascii="Times New Roman" w:hAnsi="Times New Roman" w:eastAsia="Times New Roman" w:cs="Times New Roman"/>
                <w:sz w:val="24"/>
                <w:szCs w:val="24"/>
                <w:lang w:eastAsia="hu-HU"/>
              </w:rPr>
            </w:pPr>
            <w:r>
              <w:rPr>
                <w:rFonts w:eastAsia="Times New Roman" w:cs="Calibri"/>
                <w:color w:val="000000"/>
                <w:lang w:eastAsia="hu-HU"/>
              </w:rPr>
              <w:t>ÉV</w:t>
            </w:r>
          </w:p>
        </w:tc>
        <w:tc>
          <w:tcPr>
            <w:tcW w:w="1881"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2015</w:t>
            </w:r>
          </w:p>
        </w:tc>
        <w:tc>
          <w:tcPr>
            <w:tcW w:w="1991" w:type="dxa"/>
            <w:gridSpan w:val="3"/>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2016</w:t>
            </w:r>
          </w:p>
        </w:tc>
        <w:tc>
          <w:tcPr>
            <w:tcW w:w="1991" w:type="dxa"/>
            <w:gridSpan w:val="4"/>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2017</w:t>
            </w:r>
          </w:p>
        </w:tc>
        <w:tc>
          <w:tcPr>
            <w:tcW w:w="1991" w:type="dxa"/>
            <w:gridSpan w:val="4"/>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2018</w:t>
            </w:r>
          </w:p>
        </w:tc>
      </w:tr>
      <w:tr>
        <w:trPr>
          <w:trHeight w:val="247" w:hRule="atLeast"/>
        </w:trPr>
        <w:tc>
          <w:tcPr>
            <w:tcW w:w="962"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58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0"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0"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7"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0" w:type="dxa"/>
            <w:gridSpan w:val="2"/>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5"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6"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48" w:type="dxa"/>
            <w:tcBorders>
              <w:top w:val="single" w:sz="4" w:space="0" w:color="000000"/>
              <w:left w:val="single" w:sz="4" w:space="0" w:color="000000"/>
              <w:bottom w:val="single" w:sz="4" w:space="0" w:color="000000"/>
              <w:right w:val="single" w:sz="4" w:space="0" w:color="000000"/>
            </w:tcBorders>
            <w:shd w:color="auto" w:fill="A6A6A6" w:themeFill="background1" w:themeFillShade="a6"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 xml:space="preserve">AVK </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686</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160</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90</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538135" w:themeColor="accent6" w:themeShade="bf"/>
                <w:lang w:eastAsia="hu-HU"/>
              </w:rPr>
              <w:t>805</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209</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Cs/>
                <w:color w:val="76933C"/>
                <w:lang w:eastAsia="hu-HU"/>
              </w:rPr>
            </w:pPr>
            <w:r>
              <w:rPr>
                <w:rFonts w:eastAsia="Times New Roman" w:cs="Calibri"/>
                <w:b/>
                <w:bCs/>
                <w:iCs/>
                <w:color w:val="538135" w:themeColor="accent6" w:themeShade="bf"/>
                <w:lang w:eastAsia="hu-HU"/>
              </w:rPr>
              <w:t>140</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636</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180</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109</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634</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167</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lang w:eastAsia="hu-HU"/>
              </w:rPr>
            </w:pPr>
            <w:r>
              <w:rPr>
                <w:rFonts w:eastAsia="Times New Roman" w:cs="Calibri"/>
                <w:i/>
                <w:iCs/>
                <w:lang w:eastAsia="hu-HU"/>
              </w:rPr>
              <w:t>134</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 xml:space="preserve">BTK </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1531</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411</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337</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1746</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488</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364</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2010</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602</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441</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1989</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538135" w:themeColor="accent6" w:themeShade="bf"/>
                <w:lang w:eastAsia="hu-HU"/>
              </w:rPr>
            </w:pPr>
            <w:r>
              <w:rPr>
                <w:rFonts w:eastAsia="Times New Roman" w:cs="Calibri"/>
                <w:b/>
                <w:color w:val="538135" w:themeColor="accent6" w:themeShade="bf"/>
                <w:lang w:eastAsia="hu-HU"/>
              </w:rPr>
              <w:t>614</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Cs/>
                <w:color w:val="538135" w:themeColor="accent6" w:themeShade="bf"/>
                <w:lang w:eastAsia="hu-HU"/>
              </w:rPr>
            </w:pPr>
            <w:r>
              <w:rPr>
                <w:rFonts w:eastAsia="Times New Roman" w:cs="Calibri"/>
                <w:b/>
                <w:bCs/>
                <w:iCs/>
                <w:color w:val="538135" w:themeColor="accent6" w:themeShade="bf"/>
                <w:lang w:eastAsia="hu-HU"/>
              </w:rPr>
              <w:t>455</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 xml:space="preserve">GTK </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2523</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580</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420</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538135" w:themeColor="accent6" w:themeShade="bf"/>
                <w:lang w:eastAsia="hu-HU"/>
              </w:rPr>
              <w:t>3238</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776</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511</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2733</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682</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472</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2647</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699</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Cs/>
                <w:color w:val="538135" w:themeColor="accent6" w:themeShade="bf"/>
                <w:lang w:eastAsia="hu-HU"/>
              </w:rPr>
            </w:pPr>
            <w:r>
              <w:rPr>
                <w:rFonts w:eastAsia="Times New Roman" w:cs="Calibri"/>
                <w:b/>
                <w:bCs/>
                <w:iCs/>
                <w:color w:val="538135" w:themeColor="accent6" w:themeShade="bf"/>
                <w:lang w:eastAsia="hu-HU"/>
              </w:rPr>
              <w:t>524</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 xml:space="preserve">PK </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2295</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705</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325</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3498</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963</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559</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3264</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1021</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512</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538135" w:themeColor="accent6" w:themeShade="bf"/>
                <w:lang w:eastAsia="hu-HU"/>
              </w:rPr>
              <w:t>3848</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538135" w:themeColor="accent6" w:themeShade="bf"/>
                <w:lang w:eastAsia="hu-HU"/>
              </w:rPr>
              <w:t>1257</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Cs/>
                <w:color w:val="538135" w:themeColor="accent6" w:themeShade="bf"/>
                <w:lang w:eastAsia="hu-HU"/>
              </w:rPr>
            </w:pPr>
            <w:r>
              <w:rPr>
                <w:rFonts w:eastAsia="Times New Roman" w:cs="Calibri"/>
                <w:b/>
                <w:bCs/>
                <w:iCs/>
                <w:color w:val="538135" w:themeColor="accent6" w:themeShade="bf"/>
                <w:lang w:eastAsia="hu-HU"/>
              </w:rPr>
              <w:t>659</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 xml:space="preserve">TTK </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2409</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616</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490</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color w:val="000000"/>
                <w:lang w:eastAsia="hu-HU"/>
              </w:rPr>
            </w:pPr>
            <w:r>
              <w:rPr>
                <w:rFonts w:eastAsia="Times New Roman" w:cs="Calibri"/>
                <w:b/>
                <w:color w:val="538135" w:themeColor="accent6" w:themeShade="bf"/>
                <w:lang w:eastAsia="hu-HU"/>
              </w:rPr>
              <w:t>2928</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795</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613</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2911</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865</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Cs/>
                <w:color w:val="76933C"/>
                <w:lang w:eastAsia="hu-HU"/>
              </w:rPr>
            </w:pPr>
            <w:r>
              <w:rPr>
                <w:rFonts w:eastAsia="Times New Roman" w:cs="Calibri"/>
                <w:b/>
                <w:bCs/>
                <w:iCs/>
                <w:color w:val="538135" w:themeColor="accent6" w:themeShade="bf"/>
                <w:lang w:eastAsia="hu-HU"/>
              </w:rPr>
              <w:t>623</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2692</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809</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614</w:t>
            </w:r>
          </w:p>
        </w:tc>
      </w:tr>
      <w:tr>
        <w:trPr>
          <w:trHeight w:val="235" w:hRule="atLeast"/>
        </w:trPr>
        <w:tc>
          <w:tcPr>
            <w:tcW w:w="962" w:type="dxa"/>
            <w:tcBorders>
              <w:top w:val="single" w:sz="4" w:space="0" w:color="000000"/>
              <w:left w:val="single" w:sz="4" w:space="0" w:color="000000"/>
              <w:bottom w:val="single" w:sz="4" w:space="0" w:color="000000"/>
              <w:right w:val="single" w:sz="4" w:space="0" w:color="000000"/>
            </w:tcBorders>
            <w:shd w:color="auto" w:fill="ED7D31" w:themeFill="accent2"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Összesen</w:t>
            </w:r>
          </w:p>
        </w:tc>
        <w:tc>
          <w:tcPr>
            <w:tcW w:w="58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9444</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2472</w:t>
            </w:r>
          </w:p>
        </w:tc>
        <w:tc>
          <w:tcPr>
            <w:tcW w:w="650"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i/>
                <w:i/>
                <w:iCs/>
                <w:color w:val="000000"/>
                <w:lang w:eastAsia="hu-HU"/>
              </w:rPr>
            </w:pPr>
            <w:r>
              <w:rPr>
                <w:rFonts w:eastAsia="Times New Roman" w:cs="Calibri"/>
                <w:i/>
                <w:iCs/>
                <w:color w:val="000000"/>
                <w:lang w:eastAsia="hu-HU"/>
              </w:rPr>
              <w:t>1662</w:t>
            </w:r>
          </w:p>
        </w:tc>
        <w:tc>
          <w:tcPr>
            <w:tcW w:w="6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12215</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color w:val="000000"/>
                <w:lang w:eastAsia="hu-HU"/>
              </w:rPr>
            </w:pPr>
            <w:r>
              <w:rPr>
                <w:rFonts w:eastAsia="Times New Roman" w:cs="Calibri"/>
                <w:bCs/>
                <w:color w:val="000000"/>
                <w:lang w:eastAsia="hu-HU"/>
              </w:rPr>
              <w:t>3231</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i/>
                <w:i/>
                <w:iCs/>
                <w:color w:val="000000"/>
                <w:lang w:eastAsia="hu-HU"/>
              </w:rPr>
            </w:pPr>
            <w:r>
              <w:rPr>
                <w:rFonts w:eastAsia="Times New Roman" w:cs="Calibri"/>
                <w:bCs/>
                <w:i/>
                <w:iCs/>
                <w:color w:val="000000"/>
                <w:lang w:eastAsia="hu-HU"/>
              </w:rPr>
              <w:t>2187</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color w:val="000000"/>
                <w:lang w:eastAsia="hu-HU"/>
              </w:rPr>
            </w:pPr>
            <w:r>
              <w:rPr>
                <w:rFonts w:eastAsia="Times New Roman" w:cs="Calibri"/>
                <w:bCs/>
                <w:color w:val="000000"/>
                <w:lang w:eastAsia="hu-HU"/>
              </w:rPr>
              <w:t>11554</w:t>
            </w:r>
          </w:p>
        </w:tc>
        <w:tc>
          <w:tcPr>
            <w:tcW w:w="647"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color w:val="000000"/>
                <w:lang w:eastAsia="hu-HU"/>
              </w:rPr>
            </w:pPr>
            <w:r>
              <w:rPr>
                <w:rFonts w:eastAsia="Times New Roman" w:cs="Calibri"/>
                <w:bCs/>
                <w:color w:val="000000"/>
                <w:lang w:eastAsia="hu-HU"/>
              </w:rPr>
              <w:t>3350</w:t>
            </w:r>
          </w:p>
        </w:tc>
        <w:tc>
          <w:tcPr>
            <w:tcW w:w="650"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i/>
                <w:i/>
                <w:iCs/>
                <w:color w:val="000000"/>
                <w:lang w:eastAsia="hu-HU"/>
              </w:rPr>
            </w:pPr>
            <w:r>
              <w:rPr>
                <w:rFonts w:eastAsia="Times New Roman" w:cs="Calibri"/>
                <w:bCs/>
                <w:i/>
                <w:iCs/>
                <w:color w:val="000000"/>
                <w:lang w:eastAsia="hu-HU"/>
              </w:rPr>
              <w:t>2157</w:t>
            </w:r>
          </w:p>
        </w:tc>
        <w:tc>
          <w:tcPr>
            <w:tcW w:w="695"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Cs/>
                <w:color w:val="000000"/>
                <w:lang w:eastAsia="hu-HU"/>
              </w:rPr>
            </w:pPr>
            <w:r>
              <w:rPr>
                <w:rFonts w:eastAsia="Times New Roman" w:cs="Calibri"/>
                <w:bCs/>
                <w:color w:val="000000"/>
                <w:lang w:eastAsia="hu-HU"/>
              </w:rPr>
              <w:t>11810</w:t>
            </w:r>
          </w:p>
        </w:tc>
        <w:tc>
          <w:tcPr>
            <w:tcW w:w="646"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3546</w:t>
            </w:r>
          </w:p>
        </w:tc>
        <w:tc>
          <w:tcPr>
            <w:tcW w:w="648" w:type="dxa"/>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right"/>
              <w:rPr>
                <w:rFonts w:ascii="Calibri" w:hAnsi="Calibri" w:eastAsia="Times New Roman" w:cs="Calibri"/>
                <w:b/>
                <w:b/>
                <w:bCs/>
                <w:i/>
                <w:i/>
                <w:iCs/>
                <w:color w:val="000000"/>
                <w:lang w:eastAsia="hu-HU"/>
              </w:rPr>
            </w:pPr>
            <w:r>
              <w:rPr>
                <w:rFonts w:eastAsia="Times New Roman" w:cs="Calibri"/>
                <w:b/>
                <w:bCs/>
                <w:i/>
                <w:iCs/>
                <w:color w:val="000000"/>
                <w:lang w:eastAsia="hu-HU"/>
              </w:rPr>
              <w:t>2386</w:t>
            </w:r>
          </w:p>
        </w:tc>
      </w:tr>
    </w:tbl>
    <w:p>
      <w:pPr>
        <w:pStyle w:val="Normal"/>
        <w:jc w:val="both"/>
        <w:rPr/>
      </w:pPr>
      <w:r>
        <w:rPr/>
      </w:r>
    </w:p>
    <w:p>
      <w:pPr>
        <w:pStyle w:val="Normal"/>
        <w:jc w:val="both"/>
        <w:rPr/>
      </w:pPr>
      <w:r>
        <w:rPr/>
        <w:t xml:space="preserve">Az Agrártudományi és Vidékfejlesztési Karon a 2016-os év adatai kiemelkedőek az összes jelentkezői létszám és a felvett hallgatók tekintetében, a karra 2018-ban több, mint 20%-kal többen nyertek felvételt 2017-hez képeset. A statisztikák alapján a Bölcsészettudományi kar adatai folyamatos növekedést mutatnak (első helyes jelentkezők és felvettek tekintetében), a GTK összejelentkezői létszáma 2016-ben volt a legmagasabb, 2018-ban pedig a felvettek száma 11%-kal nőtt az előző évhez képest. A Pedagógiai Kar első helyes jelentkezései egyre magasabbak, ide 2018-ban kiugró az összjelentkezői létszám is, 28%-kal több hallgató nyert ide felvételt. A Természettudományi Karon 2016-ban jelentkeztek a legtöbben, de 2017-ben volt a legmagasabb a felvettek száma, ez 2018-ra lehanyagolható mértékben, de csökkent. </w:t>
      </w:r>
    </w:p>
    <w:p>
      <w:pPr>
        <w:pStyle w:val="Normal"/>
        <w:jc w:val="both"/>
        <w:rPr/>
      </w:pPr>
      <w:r>
        <w:rPr/>
        <w:drawing>
          <wp:inline distT="0" distB="0" distL="0" distR="0">
            <wp:extent cx="5953125" cy="5972175"/>
            <wp:effectExtent l="0" t="0" r="0" b="0"/>
            <wp:docPr id="4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Normal"/>
        <w:jc w:val="both"/>
        <w:rPr/>
      </w:pPr>
      <w:r>
        <w:rPr/>
        <w:t xml:space="preserve">Legsikeresebb karnak a felvett hallgatók számát illetően 2018-ban a PK mondható 659 fővel, második a TTK 2017-ben 614 fővel, a harmadik a GTK 524 fővel. A legtöbb jelentkezés 2018-ban a PK-ra érkezett 3848, második a TTK 2692, harmadik a GTK 2647 hallgatói jelentkezéssel; az első helyes jelentkezések kapcsán is a PK vezet 2018-ban 1257 jelentkezővel. </w:t>
      </w:r>
    </w:p>
    <w:p>
      <w:pPr>
        <w:pStyle w:val="Normal"/>
        <w:rPr/>
      </w:pPr>
      <w:r>
        <w:rPr/>
      </w:r>
      <w:r>
        <w:br w:type="page"/>
      </w:r>
    </w:p>
    <w:p>
      <w:pPr>
        <w:pStyle w:val="Normal"/>
        <w:jc w:val="both"/>
        <w:rPr/>
      </w:pPr>
      <w:r>
        <w:rPr/>
      </w:r>
    </w:p>
    <w:tbl>
      <w:tblPr>
        <w:tblW w:w="9062" w:type="dxa"/>
        <w:jc w:val="lef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60" w:type="dxa"/>
          <w:bottom w:w="0" w:type="dxa"/>
          <w:right w:w="70" w:type="dxa"/>
        </w:tblCellMar>
        <w:tblLook w:noVBand="1" w:val="04a0" w:noHBand="0" w:lastColumn="0" w:firstColumn="1" w:lastRow="0" w:firstRow="1"/>
      </w:tblPr>
      <w:tblGrid>
        <w:gridCol w:w="1126"/>
        <w:gridCol w:w="587"/>
        <w:gridCol w:w="648"/>
        <w:gridCol w:w="652"/>
        <w:gridCol w:w="1"/>
        <w:gridCol w:w="697"/>
        <w:gridCol w:w="648"/>
        <w:gridCol w:w="652"/>
        <w:gridCol w:w="1"/>
        <w:gridCol w:w="697"/>
        <w:gridCol w:w="648"/>
        <w:gridCol w:w="652"/>
        <w:gridCol w:w="1"/>
        <w:gridCol w:w="698"/>
        <w:gridCol w:w="648"/>
        <w:gridCol w:w="705"/>
      </w:tblGrid>
      <w:tr>
        <w:trPr>
          <w:trHeight w:val="266" w:hRule="atLeast"/>
        </w:trPr>
        <w:tc>
          <w:tcPr>
            <w:tcW w:w="1126" w:type="dxa"/>
            <w:vMerge w:val="restart"/>
            <w:tcBorders>
              <w:top w:val="single" w:sz="8" w:space="0" w:color="000000"/>
              <w:left w:val="single" w:sz="8" w:space="0" w:color="000000"/>
              <w:bottom w:val="single" w:sz="8" w:space="0" w:color="000000"/>
              <w:right w:val="single" w:sz="8" w:space="0" w:color="000000"/>
            </w:tcBorders>
            <w:shd w:color="000000" w:fill="FFC000" w:val="clear"/>
            <w:vAlign w:val="center"/>
          </w:tcPr>
          <w:p>
            <w:pPr>
              <w:pStyle w:val="Normal"/>
              <w:spacing w:lineRule="auto" w:line="240" w:before="0" w:after="0"/>
              <w:jc w:val="center"/>
              <w:rPr>
                <w:rFonts w:ascii="Verdana" w:hAnsi="Verdana" w:eastAsia="Times New Roman" w:cs="Calibri"/>
                <w:b/>
                <w:b/>
                <w:color w:val="000000"/>
                <w:sz w:val="14"/>
                <w:szCs w:val="14"/>
                <w:lang w:eastAsia="hu-HU"/>
              </w:rPr>
            </w:pPr>
            <w:r>
              <w:rPr>
                <w:rFonts w:eastAsia="Times New Roman" w:cs="Calibri" w:ascii="Verdana" w:hAnsi="Verdana"/>
                <w:b/>
                <w:color w:val="000000"/>
                <w:sz w:val="14"/>
                <w:szCs w:val="14"/>
                <w:lang w:eastAsia="hu-HU"/>
              </w:rPr>
              <w:t>ÉV </w:t>
            </w:r>
          </w:p>
        </w:tc>
        <w:tc>
          <w:tcPr>
            <w:tcW w:w="1887" w:type="dxa"/>
            <w:gridSpan w:val="3"/>
            <w:vMerge w:val="restart"/>
            <w:tcBorders>
              <w:top w:val="single" w:sz="8" w:space="0" w:color="000000"/>
              <w:left w:val="single" w:sz="8" w:space="0" w:color="000000"/>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2015</w:t>
            </w:r>
          </w:p>
        </w:tc>
        <w:tc>
          <w:tcPr>
            <w:tcW w:w="1998" w:type="dxa"/>
            <w:gridSpan w:val="4"/>
            <w:vMerge w:val="restart"/>
            <w:tcBorders>
              <w:top w:val="single" w:sz="8" w:space="0" w:color="000000"/>
              <w:left w:val="single" w:sz="8" w:space="0" w:color="000000"/>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2016</w:t>
            </w:r>
          </w:p>
        </w:tc>
        <w:tc>
          <w:tcPr>
            <w:tcW w:w="1998" w:type="dxa"/>
            <w:gridSpan w:val="4"/>
            <w:vMerge w:val="restart"/>
            <w:tcBorders>
              <w:top w:val="single" w:sz="8" w:space="0" w:color="000000"/>
              <w:left w:val="single" w:sz="8" w:space="0" w:color="000000"/>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2017</w:t>
            </w:r>
          </w:p>
        </w:tc>
        <w:tc>
          <w:tcPr>
            <w:tcW w:w="2052" w:type="dxa"/>
            <w:gridSpan w:val="4"/>
            <w:vMerge w:val="restart"/>
            <w:tcBorders>
              <w:top w:val="single" w:sz="8" w:space="0" w:color="000000"/>
              <w:left w:val="single" w:sz="8" w:space="0" w:color="000000"/>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2018</w:t>
            </w:r>
          </w:p>
        </w:tc>
      </w:tr>
      <w:tr>
        <w:trPr>
          <w:trHeight w:val="450" w:hRule="atLeast"/>
        </w:trPr>
        <w:tc>
          <w:tcPr>
            <w:tcW w:w="1126" w:type="dxa"/>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Verdana" w:hAnsi="Verdana" w:eastAsia="Times New Roman" w:cs="Calibri"/>
                <w:color w:val="000000"/>
                <w:sz w:val="14"/>
                <w:szCs w:val="14"/>
                <w:lang w:eastAsia="hu-HU"/>
              </w:rPr>
            </w:pPr>
            <w:r>
              <w:rPr>
                <w:rFonts w:eastAsia="Times New Roman" w:cs="Calibri" w:ascii="Verdana" w:hAnsi="Verdana"/>
                <w:color w:val="000000"/>
                <w:sz w:val="14"/>
                <w:szCs w:val="14"/>
                <w:lang w:eastAsia="hu-HU"/>
              </w:rPr>
            </w:r>
          </w:p>
        </w:tc>
        <w:tc>
          <w:tcPr>
            <w:tcW w:w="1887" w:type="dxa"/>
            <w:gridSpan w:val="3"/>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r>
          </w:p>
        </w:tc>
        <w:tc>
          <w:tcPr>
            <w:tcW w:w="1998" w:type="dxa"/>
            <w:gridSpan w:val="4"/>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r>
          </w:p>
        </w:tc>
        <w:tc>
          <w:tcPr>
            <w:tcW w:w="1998" w:type="dxa"/>
            <w:gridSpan w:val="4"/>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r>
          </w:p>
        </w:tc>
        <w:tc>
          <w:tcPr>
            <w:tcW w:w="2052" w:type="dxa"/>
            <w:gridSpan w:val="4"/>
            <w:vMerge w:val="continue"/>
            <w:tcBorders>
              <w:top w:val="single" w:sz="8" w:space="0" w:color="000000"/>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r>
          </w:p>
        </w:tc>
      </w:tr>
      <w:tr>
        <w:trPr>
          <w:trHeight w:val="279" w:hRule="atLeast"/>
        </w:trPr>
        <w:tc>
          <w:tcPr>
            <w:tcW w:w="1126" w:type="dxa"/>
            <w:tcBorders>
              <w:left w:val="single" w:sz="8" w:space="0" w:color="000000"/>
              <w:bottom w:val="single" w:sz="8" w:space="0" w:color="000000"/>
              <w:right w:val="single" w:sz="8" w:space="0" w:color="000000"/>
            </w:tcBorders>
            <w:shd w:color="000000" w:fill="FFC000" w:val="clear"/>
            <w:vAlign w:val="cente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 </w:t>
            </w:r>
          </w:p>
        </w:tc>
        <w:tc>
          <w:tcPr>
            <w:tcW w:w="587"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3" w:type="dxa"/>
            <w:gridSpan w:val="2"/>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7"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3" w:type="dxa"/>
            <w:gridSpan w:val="2"/>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7"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653" w:type="dxa"/>
            <w:gridSpan w:val="2"/>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c>
          <w:tcPr>
            <w:tcW w:w="698"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össz</w:t>
            </w:r>
          </w:p>
        </w:tc>
        <w:tc>
          <w:tcPr>
            <w:tcW w:w="648"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első helyes</w:t>
            </w:r>
          </w:p>
        </w:tc>
        <w:tc>
          <w:tcPr>
            <w:tcW w:w="705" w:type="dxa"/>
            <w:tcBorders>
              <w:bottom w:val="single" w:sz="8" w:space="0" w:color="000000"/>
              <w:right w:val="single" w:sz="8" w:space="0" w:color="000000"/>
            </w:tcBorders>
            <w:shd w:color="000000" w:fill="FFFF99" w:val="clear"/>
            <w:vAlign w:val="center"/>
          </w:tcPr>
          <w:p>
            <w:pPr>
              <w:pStyle w:val="Normal"/>
              <w:spacing w:lineRule="auto" w:line="240" w:before="0" w:after="0"/>
              <w:jc w:val="center"/>
              <w:rPr>
                <w:rFonts w:ascii="Verdana" w:hAnsi="Verdana" w:eastAsia="Times New Roman" w:cs="Calibri"/>
                <w:b/>
                <w:b/>
                <w:bCs/>
                <w:color w:val="000000"/>
                <w:sz w:val="14"/>
                <w:szCs w:val="14"/>
                <w:lang w:eastAsia="hu-HU"/>
              </w:rPr>
            </w:pPr>
            <w:r>
              <w:rPr>
                <w:rFonts w:eastAsia="Times New Roman" w:cs="Calibri" w:ascii="Verdana" w:hAnsi="Verdana"/>
                <w:b/>
                <w:bCs/>
                <w:color w:val="000000"/>
                <w:sz w:val="14"/>
                <w:szCs w:val="14"/>
                <w:lang w:eastAsia="hu-HU"/>
              </w:rPr>
              <w:t>felvett</w:t>
            </w:r>
          </w:p>
        </w:tc>
      </w:tr>
      <w:tr>
        <w:trPr>
          <w:trHeight w:val="279" w:hRule="atLeast"/>
        </w:trPr>
        <w:tc>
          <w:tcPr>
            <w:tcW w:w="1126" w:type="dxa"/>
            <w:tcBorders>
              <w:left w:val="single" w:sz="8" w:space="0" w:color="000000"/>
              <w:bottom w:val="single" w:sz="8" w:space="0" w:color="000000"/>
              <w:right w:val="single" w:sz="8" w:space="0" w:color="000000"/>
            </w:tcBorders>
            <w:shd w:color="000000" w:fill="92D050" w:val="clear"/>
            <w:vAlign w:val="center"/>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58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6372</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1683</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1202</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8328</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2243</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1542</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8507</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2504</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1678</w:t>
            </w:r>
          </w:p>
        </w:tc>
        <w:tc>
          <w:tcPr>
            <w:tcW w:w="69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8752</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2666</w:t>
            </w:r>
          </w:p>
        </w:tc>
        <w:tc>
          <w:tcPr>
            <w:tcW w:w="705"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1832</w:t>
            </w:r>
          </w:p>
        </w:tc>
      </w:tr>
      <w:tr>
        <w:trPr>
          <w:trHeight w:val="279" w:hRule="atLeast"/>
        </w:trPr>
        <w:tc>
          <w:tcPr>
            <w:tcW w:w="1126"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Gyöngyös</w:t>
            </w:r>
          </w:p>
        </w:tc>
        <w:tc>
          <w:tcPr>
            <w:tcW w:w="58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1892</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418</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267</w:t>
            </w:r>
          </w:p>
        </w:tc>
        <w:tc>
          <w:tcPr>
            <w:tcW w:w="697"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2104</w:t>
            </w:r>
          </w:p>
        </w:tc>
        <w:tc>
          <w:tcPr>
            <w:tcW w:w="648"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507</w:t>
            </w:r>
          </w:p>
        </w:tc>
        <w:tc>
          <w:tcPr>
            <w:tcW w:w="653" w:type="dxa"/>
            <w:gridSpan w:val="2"/>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343</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1520</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380</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245</w:t>
            </w:r>
          </w:p>
        </w:tc>
        <w:tc>
          <w:tcPr>
            <w:tcW w:w="69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1574</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378</w:t>
            </w:r>
          </w:p>
        </w:tc>
        <w:tc>
          <w:tcPr>
            <w:tcW w:w="705"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292</w:t>
            </w:r>
          </w:p>
        </w:tc>
      </w:tr>
      <w:tr>
        <w:trPr>
          <w:trHeight w:val="279" w:hRule="atLeast"/>
        </w:trPr>
        <w:tc>
          <w:tcPr>
            <w:tcW w:w="1126"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Sárospatak</w:t>
            </w:r>
          </w:p>
        </w:tc>
        <w:tc>
          <w:tcPr>
            <w:tcW w:w="58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521</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178</w:t>
            </w:r>
          </w:p>
        </w:tc>
        <w:tc>
          <w:tcPr>
            <w:tcW w:w="653" w:type="dxa"/>
            <w:gridSpan w:val="2"/>
            <w:tcBorders>
              <w:bottom w:val="single" w:sz="8" w:space="0" w:color="000000"/>
              <w:right w:val="single" w:sz="8" w:space="0" w:color="000000"/>
            </w:tcBorders>
            <w:shd w:color="auto" w:fill="FFFFFF" w:themeFill="background1"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96</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702</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228</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130</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722</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216</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120</w:t>
            </w:r>
          </w:p>
        </w:tc>
        <w:tc>
          <w:tcPr>
            <w:tcW w:w="69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574</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200</w:t>
            </w:r>
          </w:p>
        </w:tc>
        <w:tc>
          <w:tcPr>
            <w:tcW w:w="705"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107</w:t>
            </w:r>
          </w:p>
        </w:tc>
      </w:tr>
      <w:tr>
        <w:trPr>
          <w:trHeight w:val="279" w:hRule="atLeast"/>
        </w:trPr>
        <w:tc>
          <w:tcPr>
            <w:tcW w:w="1126"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Jászberény</w:t>
            </w:r>
          </w:p>
        </w:tc>
        <w:tc>
          <w:tcPr>
            <w:tcW w:w="58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659</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193</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97</w:t>
            </w:r>
          </w:p>
        </w:tc>
        <w:tc>
          <w:tcPr>
            <w:tcW w:w="697"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1081</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253</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172</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805</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250</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114</w:t>
            </w:r>
          </w:p>
        </w:tc>
        <w:tc>
          <w:tcPr>
            <w:tcW w:w="69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910</w:t>
            </w:r>
          </w:p>
        </w:tc>
        <w:tc>
          <w:tcPr>
            <w:tcW w:w="648"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302</w:t>
            </w:r>
          </w:p>
        </w:tc>
        <w:tc>
          <w:tcPr>
            <w:tcW w:w="705"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color w:val="000000"/>
                <w:lang w:eastAsia="hu-HU"/>
              </w:rPr>
            </w:pPr>
            <w:r>
              <w:rPr>
                <w:rFonts w:eastAsia="Times New Roman" w:cs="Calibri"/>
                <w:color w:val="000000"/>
                <w:lang w:eastAsia="hu-HU"/>
              </w:rPr>
              <w:t>155</w:t>
            </w:r>
          </w:p>
        </w:tc>
      </w:tr>
      <w:tr>
        <w:trPr>
          <w:trHeight w:val="279" w:hRule="atLeast"/>
        </w:trPr>
        <w:tc>
          <w:tcPr>
            <w:tcW w:w="1126" w:type="dxa"/>
            <w:tcBorders>
              <w:left w:val="single" w:sz="8" w:space="0" w:color="000000"/>
              <w:bottom w:val="single" w:sz="8" w:space="0" w:color="000000"/>
              <w:right w:val="single" w:sz="8" w:space="0" w:color="000000"/>
            </w:tcBorders>
            <w:shd w:fill="auto" w:val="clear"/>
            <w:vAlign w:val="center"/>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Összesen</w:t>
            </w:r>
          </w:p>
        </w:tc>
        <w:tc>
          <w:tcPr>
            <w:tcW w:w="58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9444</w:t>
            </w:r>
          </w:p>
        </w:tc>
        <w:tc>
          <w:tcPr>
            <w:tcW w:w="648" w:type="dxa"/>
            <w:tcBorders>
              <w:bottom w:val="single" w:sz="8" w:space="0" w:color="000000"/>
              <w:right w:val="single" w:sz="8" w:space="0" w:color="000000"/>
            </w:tcBorders>
            <w:shd w:color="auto" w:fill="FFFFFF" w:themeFill="background1"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2472</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1662</w:t>
            </w:r>
          </w:p>
        </w:tc>
        <w:tc>
          <w:tcPr>
            <w:tcW w:w="697"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12215</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3231</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2187</w:t>
            </w:r>
          </w:p>
        </w:tc>
        <w:tc>
          <w:tcPr>
            <w:tcW w:w="697"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11554</w:t>
            </w:r>
          </w:p>
        </w:tc>
        <w:tc>
          <w:tcPr>
            <w:tcW w:w="64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3350</w:t>
            </w:r>
          </w:p>
        </w:tc>
        <w:tc>
          <w:tcPr>
            <w:tcW w:w="653" w:type="dxa"/>
            <w:gridSpan w:val="2"/>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2157</w:t>
            </w:r>
          </w:p>
        </w:tc>
        <w:tc>
          <w:tcPr>
            <w:tcW w:w="698" w:type="dxa"/>
            <w:tcBorders>
              <w:bottom w:val="single" w:sz="8" w:space="0" w:color="000000"/>
              <w:right w:val="single" w:sz="8" w:space="0" w:color="000000"/>
            </w:tcBorders>
            <w:shd w:fill="auto"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11810</w:t>
            </w:r>
          </w:p>
        </w:tc>
        <w:tc>
          <w:tcPr>
            <w:tcW w:w="648"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3546</w:t>
            </w:r>
          </w:p>
        </w:tc>
        <w:tc>
          <w:tcPr>
            <w:tcW w:w="705" w:type="dxa"/>
            <w:tcBorders>
              <w:bottom w:val="single" w:sz="8" w:space="0" w:color="000000"/>
              <w:right w:val="single" w:sz="8" w:space="0" w:color="000000"/>
            </w:tcBorders>
            <w:shd w:color="auto" w:fill="92D050" w:val="clear"/>
            <w:vAlign w:val="center"/>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2386</w:t>
            </w:r>
          </w:p>
        </w:tc>
      </w:tr>
    </w:tbl>
    <w:p>
      <w:pPr>
        <w:pStyle w:val="Normal"/>
        <w:jc w:val="both"/>
        <w:rPr/>
      </w:pPr>
      <w:r>
        <w:rPr/>
      </w:r>
    </w:p>
    <w:p>
      <w:pPr>
        <w:pStyle w:val="Normal"/>
        <w:jc w:val="both"/>
        <w:rPr/>
      </w:pPr>
      <w:r>
        <w:rPr/>
        <w:t>A 2018-as pótfelvételi eljárásával kiegészített adatok:</w:t>
      </w:r>
    </w:p>
    <w:tbl>
      <w:tblPr>
        <w:tblStyle w:val="Rcsostblzat"/>
        <w:tblW w:w="9062" w:type="dxa"/>
        <w:jc w:val="left"/>
        <w:tblInd w:w="0" w:type="dxa"/>
        <w:tblCellMar>
          <w:top w:w="0" w:type="dxa"/>
          <w:left w:w="108" w:type="dxa"/>
          <w:bottom w:w="0" w:type="dxa"/>
          <w:right w:w="108" w:type="dxa"/>
        </w:tblCellMar>
        <w:tblLook w:noVBand="1" w:val="04a0" w:noHBand="0" w:lastColumn="0" w:firstColumn="1" w:lastRow="0" w:firstRow="1"/>
      </w:tblPr>
      <w:tblGrid>
        <w:gridCol w:w="2265"/>
        <w:gridCol w:w="2265"/>
        <w:gridCol w:w="2266"/>
        <w:gridCol w:w="2265"/>
      </w:tblGrid>
      <w:tr>
        <w:trPr/>
        <w:tc>
          <w:tcPr>
            <w:tcW w:w="2265" w:type="dxa"/>
            <w:tcBorders/>
            <w:shd w:color="auto" w:fill="B4C6E7" w:themeFill="accent5" w:themeFillTint="66" w:val="clear"/>
          </w:tcPr>
          <w:p>
            <w:pPr>
              <w:pStyle w:val="Normal"/>
              <w:spacing w:lineRule="auto" w:line="240" w:before="0" w:after="0"/>
              <w:jc w:val="both"/>
              <w:rPr>
                <w:b/>
                <w:b/>
              </w:rPr>
            </w:pPr>
            <w:r>
              <w:rPr>
                <w:b/>
              </w:rPr>
              <w:t>Campus</w:t>
            </w:r>
          </w:p>
        </w:tc>
        <w:tc>
          <w:tcPr>
            <w:tcW w:w="2265" w:type="dxa"/>
            <w:tcBorders/>
            <w:shd w:color="auto" w:fill="B4C6E7" w:themeFill="accent5" w:themeFillTint="66" w:val="clear"/>
          </w:tcPr>
          <w:p>
            <w:pPr>
              <w:pStyle w:val="Normal"/>
              <w:spacing w:lineRule="auto" w:line="240" w:before="0" w:after="0"/>
              <w:jc w:val="both"/>
              <w:rPr>
                <w:b/>
                <w:b/>
              </w:rPr>
            </w:pPr>
            <w:r>
              <w:rPr>
                <w:b/>
              </w:rPr>
              <w:t>Alap</w:t>
            </w:r>
          </w:p>
        </w:tc>
        <w:tc>
          <w:tcPr>
            <w:tcW w:w="2266" w:type="dxa"/>
            <w:tcBorders/>
            <w:shd w:color="auto" w:fill="B4C6E7" w:themeFill="accent5" w:themeFillTint="66" w:val="clear"/>
          </w:tcPr>
          <w:p>
            <w:pPr>
              <w:pStyle w:val="Normal"/>
              <w:spacing w:lineRule="auto" w:line="240" w:before="0" w:after="0"/>
              <w:jc w:val="both"/>
              <w:rPr>
                <w:b/>
                <w:b/>
              </w:rPr>
            </w:pPr>
            <w:r>
              <w:rPr>
                <w:b/>
              </w:rPr>
              <w:t>Pót</w:t>
            </w:r>
          </w:p>
        </w:tc>
        <w:tc>
          <w:tcPr>
            <w:tcW w:w="2265" w:type="dxa"/>
            <w:tcBorders/>
            <w:shd w:color="auto" w:fill="B4C6E7" w:themeFill="accent5" w:themeFillTint="66" w:val="clear"/>
          </w:tcPr>
          <w:p>
            <w:pPr>
              <w:pStyle w:val="Normal"/>
              <w:spacing w:lineRule="auto" w:line="240" w:before="0" w:after="0"/>
              <w:jc w:val="both"/>
              <w:rPr>
                <w:b/>
                <w:b/>
              </w:rPr>
            </w:pPr>
            <w:r>
              <w:rPr>
                <w:b/>
              </w:rPr>
              <w:t>Összesen</w:t>
            </w:r>
          </w:p>
        </w:tc>
      </w:tr>
      <w:tr>
        <w:trPr/>
        <w:tc>
          <w:tcPr>
            <w:tcW w:w="2265" w:type="dxa"/>
            <w:tcBorders/>
            <w:shd w:fill="auto" w:val="clear"/>
          </w:tcPr>
          <w:p>
            <w:pPr>
              <w:pStyle w:val="Normal"/>
              <w:spacing w:lineRule="auto" w:line="240" w:before="0" w:after="0"/>
              <w:jc w:val="both"/>
              <w:rPr/>
            </w:pPr>
            <w:r>
              <w:rPr/>
              <w:t>Gyöngyös</w:t>
            </w:r>
          </w:p>
        </w:tc>
        <w:tc>
          <w:tcPr>
            <w:tcW w:w="2265" w:type="dxa"/>
            <w:tcBorders/>
            <w:shd w:fill="auto" w:val="clear"/>
          </w:tcPr>
          <w:p>
            <w:pPr>
              <w:pStyle w:val="Normal"/>
              <w:spacing w:lineRule="auto" w:line="240" w:before="0" w:after="0"/>
              <w:jc w:val="both"/>
              <w:rPr/>
            </w:pPr>
            <w:r>
              <w:rPr/>
              <w:t>292</w:t>
            </w:r>
          </w:p>
        </w:tc>
        <w:tc>
          <w:tcPr>
            <w:tcW w:w="2266" w:type="dxa"/>
            <w:tcBorders/>
            <w:shd w:fill="auto" w:val="clear"/>
          </w:tcPr>
          <w:p>
            <w:pPr>
              <w:pStyle w:val="Normal"/>
              <w:spacing w:lineRule="auto" w:line="240" w:before="0" w:after="0"/>
              <w:jc w:val="both"/>
              <w:rPr/>
            </w:pPr>
            <w:r>
              <w:rPr/>
              <w:t>27</w:t>
            </w:r>
          </w:p>
        </w:tc>
        <w:tc>
          <w:tcPr>
            <w:tcW w:w="2265" w:type="dxa"/>
            <w:tcBorders/>
            <w:shd w:fill="auto" w:val="clear"/>
          </w:tcPr>
          <w:p>
            <w:pPr>
              <w:pStyle w:val="Normal"/>
              <w:spacing w:lineRule="auto" w:line="240" w:before="0" w:after="0"/>
              <w:jc w:val="both"/>
              <w:rPr/>
            </w:pPr>
            <w:r>
              <w:rPr/>
              <w:t>319</w:t>
            </w:r>
          </w:p>
        </w:tc>
      </w:tr>
      <w:tr>
        <w:trPr/>
        <w:tc>
          <w:tcPr>
            <w:tcW w:w="2265" w:type="dxa"/>
            <w:tcBorders/>
            <w:shd w:fill="auto" w:val="clear"/>
          </w:tcPr>
          <w:p>
            <w:pPr>
              <w:pStyle w:val="Normal"/>
              <w:spacing w:lineRule="auto" w:line="240" w:before="0" w:after="0"/>
              <w:jc w:val="both"/>
              <w:rPr/>
            </w:pPr>
            <w:r>
              <w:rPr/>
              <w:t>Sárospatak</w:t>
            </w:r>
          </w:p>
        </w:tc>
        <w:tc>
          <w:tcPr>
            <w:tcW w:w="2265" w:type="dxa"/>
            <w:tcBorders/>
            <w:shd w:fill="auto" w:val="clear"/>
          </w:tcPr>
          <w:p>
            <w:pPr>
              <w:pStyle w:val="Normal"/>
              <w:spacing w:lineRule="auto" w:line="240" w:before="0" w:after="0"/>
              <w:jc w:val="both"/>
              <w:rPr/>
            </w:pPr>
            <w:r>
              <w:rPr/>
              <w:t>107</w:t>
            </w:r>
          </w:p>
        </w:tc>
        <w:tc>
          <w:tcPr>
            <w:tcW w:w="2266" w:type="dxa"/>
            <w:tcBorders/>
            <w:shd w:fill="auto" w:val="clear"/>
          </w:tcPr>
          <w:p>
            <w:pPr>
              <w:pStyle w:val="Normal"/>
              <w:spacing w:lineRule="auto" w:line="240" w:before="0" w:after="0"/>
              <w:jc w:val="both"/>
              <w:rPr/>
            </w:pPr>
            <w:r>
              <w:rPr/>
              <w:t>223</w:t>
            </w:r>
          </w:p>
        </w:tc>
        <w:tc>
          <w:tcPr>
            <w:tcW w:w="2265" w:type="dxa"/>
            <w:tcBorders/>
            <w:shd w:fill="auto" w:val="clear"/>
          </w:tcPr>
          <w:p>
            <w:pPr>
              <w:pStyle w:val="Normal"/>
              <w:spacing w:lineRule="auto" w:line="240" w:before="0" w:after="0"/>
              <w:jc w:val="both"/>
              <w:rPr/>
            </w:pPr>
            <w:r>
              <w:rPr/>
              <w:t>130</w:t>
            </w:r>
          </w:p>
        </w:tc>
      </w:tr>
      <w:tr>
        <w:trPr/>
        <w:tc>
          <w:tcPr>
            <w:tcW w:w="2265" w:type="dxa"/>
            <w:tcBorders/>
            <w:shd w:fill="auto" w:val="clear"/>
          </w:tcPr>
          <w:p>
            <w:pPr>
              <w:pStyle w:val="Normal"/>
              <w:spacing w:lineRule="auto" w:line="240" w:before="0" w:after="0"/>
              <w:jc w:val="both"/>
              <w:rPr/>
            </w:pPr>
            <w:r>
              <w:rPr/>
              <w:t>Jászberény</w:t>
            </w:r>
          </w:p>
        </w:tc>
        <w:tc>
          <w:tcPr>
            <w:tcW w:w="2265" w:type="dxa"/>
            <w:tcBorders/>
            <w:shd w:fill="auto" w:val="clear"/>
          </w:tcPr>
          <w:p>
            <w:pPr>
              <w:pStyle w:val="Normal"/>
              <w:spacing w:lineRule="auto" w:line="240" w:before="0" w:after="0"/>
              <w:jc w:val="both"/>
              <w:rPr/>
            </w:pPr>
            <w:r>
              <w:rPr/>
              <w:t>155</w:t>
            </w:r>
          </w:p>
        </w:tc>
        <w:tc>
          <w:tcPr>
            <w:tcW w:w="2266" w:type="dxa"/>
            <w:tcBorders/>
            <w:shd w:fill="auto" w:val="clear"/>
          </w:tcPr>
          <w:p>
            <w:pPr>
              <w:pStyle w:val="Normal"/>
              <w:spacing w:lineRule="auto" w:line="240" w:before="0" w:after="0"/>
              <w:jc w:val="both"/>
              <w:rPr/>
            </w:pPr>
            <w:r>
              <w:rPr/>
              <w:t>34</w:t>
            </w:r>
          </w:p>
        </w:tc>
        <w:tc>
          <w:tcPr>
            <w:tcW w:w="2265" w:type="dxa"/>
            <w:tcBorders/>
            <w:shd w:fill="auto" w:val="clear"/>
          </w:tcPr>
          <w:p>
            <w:pPr>
              <w:pStyle w:val="Normal"/>
              <w:spacing w:lineRule="auto" w:line="240" w:before="0" w:after="0"/>
              <w:jc w:val="both"/>
              <w:rPr/>
            </w:pPr>
            <w:r>
              <w:rPr/>
              <w:t>189</w:t>
            </w:r>
          </w:p>
        </w:tc>
      </w:tr>
      <w:tr>
        <w:trPr/>
        <w:tc>
          <w:tcPr>
            <w:tcW w:w="2265" w:type="dxa"/>
            <w:tcBorders/>
            <w:shd w:fill="auto" w:val="clear"/>
          </w:tcPr>
          <w:p>
            <w:pPr>
              <w:pStyle w:val="Normal"/>
              <w:spacing w:lineRule="auto" w:line="240" w:before="0" w:after="0"/>
              <w:jc w:val="both"/>
              <w:rPr/>
            </w:pPr>
            <w:r>
              <w:rPr/>
              <w:t>Eger</w:t>
            </w:r>
          </w:p>
        </w:tc>
        <w:tc>
          <w:tcPr>
            <w:tcW w:w="2265" w:type="dxa"/>
            <w:tcBorders/>
            <w:shd w:fill="auto" w:val="clear"/>
          </w:tcPr>
          <w:p>
            <w:pPr>
              <w:pStyle w:val="Normal"/>
              <w:spacing w:lineRule="auto" w:line="240" w:before="0" w:after="0"/>
              <w:jc w:val="both"/>
              <w:rPr/>
            </w:pPr>
            <w:r>
              <w:rPr/>
              <w:t>1832</w:t>
            </w:r>
          </w:p>
        </w:tc>
        <w:tc>
          <w:tcPr>
            <w:tcW w:w="2266" w:type="dxa"/>
            <w:tcBorders/>
            <w:shd w:fill="auto" w:val="clear"/>
          </w:tcPr>
          <w:p>
            <w:pPr>
              <w:pStyle w:val="Normal"/>
              <w:spacing w:lineRule="auto" w:line="240" w:before="0" w:after="0"/>
              <w:jc w:val="both"/>
              <w:rPr/>
            </w:pPr>
            <w:r>
              <w:rPr/>
              <w:t>129</w:t>
            </w:r>
          </w:p>
        </w:tc>
        <w:tc>
          <w:tcPr>
            <w:tcW w:w="2265" w:type="dxa"/>
            <w:tcBorders/>
            <w:shd w:fill="auto" w:val="clear"/>
          </w:tcPr>
          <w:p>
            <w:pPr>
              <w:pStyle w:val="Normal"/>
              <w:spacing w:lineRule="auto" w:line="240" w:before="0" w:after="0"/>
              <w:jc w:val="both"/>
              <w:rPr/>
            </w:pPr>
            <w:r>
              <w:rPr/>
              <w:t>1961</w:t>
            </w:r>
          </w:p>
        </w:tc>
      </w:tr>
      <w:tr>
        <w:trPr/>
        <w:tc>
          <w:tcPr>
            <w:tcW w:w="2265" w:type="dxa"/>
            <w:tcBorders/>
            <w:shd w:fill="auto" w:val="clear"/>
          </w:tcPr>
          <w:p>
            <w:pPr>
              <w:pStyle w:val="Normal"/>
              <w:spacing w:lineRule="auto" w:line="240" w:before="0" w:after="0"/>
              <w:jc w:val="both"/>
              <w:rPr>
                <w:b/>
                <w:b/>
              </w:rPr>
            </w:pPr>
            <w:r>
              <w:rPr>
                <w:b/>
              </w:rPr>
              <w:t>Összesen</w:t>
            </w:r>
          </w:p>
        </w:tc>
        <w:tc>
          <w:tcPr>
            <w:tcW w:w="2265" w:type="dxa"/>
            <w:tcBorders/>
            <w:shd w:fill="auto" w:val="clear"/>
          </w:tcPr>
          <w:p>
            <w:pPr>
              <w:pStyle w:val="Normal"/>
              <w:spacing w:lineRule="auto" w:line="240" w:before="0" w:after="0"/>
              <w:jc w:val="both"/>
              <w:rPr>
                <w:b/>
                <w:b/>
              </w:rPr>
            </w:pPr>
            <w:r>
              <w:rPr>
                <w:b/>
              </w:rPr>
              <w:t>2386</w:t>
            </w:r>
          </w:p>
        </w:tc>
        <w:tc>
          <w:tcPr>
            <w:tcW w:w="2266" w:type="dxa"/>
            <w:tcBorders/>
            <w:shd w:fill="auto" w:val="clear"/>
          </w:tcPr>
          <w:p>
            <w:pPr>
              <w:pStyle w:val="Normal"/>
              <w:spacing w:lineRule="auto" w:line="240" w:before="0" w:after="0"/>
              <w:jc w:val="both"/>
              <w:rPr>
                <w:b/>
                <w:b/>
              </w:rPr>
            </w:pPr>
            <w:r>
              <w:rPr>
                <w:b/>
              </w:rPr>
              <w:t>213</w:t>
            </w:r>
          </w:p>
        </w:tc>
        <w:tc>
          <w:tcPr>
            <w:tcW w:w="2265" w:type="dxa"/>
            <w:tcBorders/>
            <w:shd w:fill="auto" w:val="clear"/>
          </w:tcPr>
          <w:p>
            <w:pPr>
              <w:pStyle w:val="Normal"/>
              <w:spacing w:lineRule="auto" w:line="240" w:before="0" w:after="0"/>
              <w:jc w:val="both"/>
              <w:rPr>
                <w:b/>
                <w:b/>
              </w:rPr>
            </w:pPr>
            <w:r>
              <w:rPr>
                <w:b/>
              </w:rPr>
              <w:t>2599</w:t>
            </w:r>
          </w:p>
        </w:tc>
      </w:tr>
    </w:tbl>
    <w:p>
      <w:pPr>
        <w:pStyle w:val="Normal"/>
        <w:jc w:val="both"/>
        <w:rPr/>
      </w:pPr>
      <w:r>
        <w:rPr/>
      </w:r>
    </w:p>
    <w:p>
      <w:pPr>
        <w:pStyle w:val="Normal"/>
        <w:jc w:val="both"/>
        <w:rPr/>
      </w:pPr>
      <w:r>
        <w:rPr/>
      </w:r>
    </w:p>
    <w:p>
      <w:pPr>
        <w:pStyle w:val="Normal"/>
        <w:jc w:val="both"/>
        <w:rPr/>
      </w:pPr>
      <w:r>
        <w:rPr/>
        <w:t>Az intézmény legkedveltebb kampusza az egri, a 2018-ban jelentkezettek 74%-a választotta ezt a képzési helyszínt (8752 fő), a második legtöbb hallgatót vonzó helyszín Gyöngyös 1574 fővel, mely az összes jelentkező 13%-a, majd Jászberény 910 fővel és Sárospatak 574 jelentkező hallgatóval.</w:t>
      </w:r>
    </w:p>
    <w:p>
      <w:pPr>
        <w:pStyle w:val="Normal"/>
        <w:jc w:val="both"/>
        <w:rPr/>
      </w:pPr>
      <w:r>
        <w:rPr/>
        <w:t>A felvettek arányai nagyjából követik a jelentkezők arányait: Egerben tanulhat a felvételizők 77%-a (1832 fő), Gyöngyösön 12% (292 fő), Jászberényben 7% (155 fő), Sárospatakon 4% (107 fő).</w:t>
      </w:r>
    </w:p>
    <w:p>
      <w:pPr>
        <w:pStyle w:val="Normal"/>
        <w:jc w:val="center"/>
        <w:rPr/>
      </w:pPr>
      <w:r>
        <w:rPr/>
        <w:drawing>
          <wp:inline distT="0" distB="0" distL="0" distR="0">
            <wp:extent cx="6200775" cy="2038350"/>
            <wp:effectExtent l="0" t="0" r="0" b="0"/>
            <wp:docPr id="4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Normal"/>
        <w:jc w:val="center"/>
        <w:rPr/>
      </w:pPr>
      <w:r>
        <w:rPr/>
        <w:drawing>
          <wp:inline distT="0" distB="0" distL="0" distR="0">
            <wp:extent cx="6315075" cy="3362325"/>
            <wp:effectExtent l="0" t="0" r="0" b="0"/>
            <wp:docPr id="4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Normal"/>
        <w:jc w:val="both"/>
        <w:rPr/>
      </w:pPr>
      <w:r>
        <w:rPr/>
        <w:t xml:space="preserve">A fenti diagramból látható, hogy az Egri Campus minden évben növekedést mutat, minden adat tekintetében. A Gyöngyösi Campus - ahol az AVK és A GTK képzései zajlanak -, és a Jászberényi Campus is 2016-ban hozta az eddigi legjobb eredményeket. Sárospatak a felvett hallgatók létszámában majd 10%-os emelkedést mutat 2016-18 között. Jászberényt több, mint háromszor annyian választják elsőként 2018-ban, 15-höz képest. A karok képzési helyek szerinti adatait az alábbi táblázat mutatja meg. Ebből az látszik, hogy az AVK összes jelentkezőjének gyöngyösi és sárospataki létszámai folyamatosan csökkenek, míg az egri létszámok emelkednek. A BTK-n 2018-ban volt a legmagasabb az első helyes jelentkezések száma 614 fővel. A GTK egri és sárospataki létszámai csökkennek, míg a gyöngyösi és jászberényi szakok emelkedést mutatnak. A PK egri képzései a legvonzóbbak a legtöbb jelentkezés és első helyes megjelölés is ide érkezett 2018-ban. Az első helyes jelentkezések esetében a kar jászberényi képzései is növekednek. </w:t>
      </w:r>
    </w:p>
    <w:p>
      <w:pPr>
        <w:pStyle w:val="Normal"/>
        <w:jc w:val="both"/>
        <w:rPr/>
      </w:pPr>
      <w:r>
        <w:rPr/>
        <w:t>A karok külön képzési helyeire vonatkozó részletes adatokat az alábbi táblázat mutatja be:</w:t>
      </w:r>
    </w:p>
    <w:tbl>
      <w:tblPr>
        <w:tblpPr w:bottomFromText="0" w:horzAnchor="text" w:leftFromText="141" w:rightFromText="141" w:tblpX="0" w:tblpY="158" w:topFromText="0" w:vertAnchor="text"/>
        <w:tblW w:w="1006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5" w:type="dxa"/>
          <w:bottom w:w="0" w:type="dxa"/>
          <w:right w:w="70" w:type="dxa"/>
        </w:tblCellMar>
        <w:tblLook w:noVBand="1" w:val="04a0" w:noHBand="0" w:lastColumn="0" w:firstColumn="1" w:lastRow="0" w:firstRow="1"/>
      </w:tblPr>
      <w:tblGrid>
        <w:gridCol w:w="1400"/>
        <w:gridCol w:w="738"/>
        <w:gridCol w:w="744"/>
        <w:gridCol w:w="708"/>
        <w:gridCol w:w="1"/>
        <w:gridCol w:w="682"/>
        <w:gridCol w:w="742"/>
        <w:gridCol w:w="709"/>
        <w:gridCol w:w="1"/>
        <w:gridCol w:w="682"/>
        <w:gridCol w:w="742"/>
        <w:gridCol w:w="708"/>
        <w:gridCol w:w="1"/>
        <w:gridCol w:w="682"/>
        <w:gridCol w:w="811"/>
        <w:gridCol w:w="708"/>
      </w:tblGrid>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Év</w:t>
            </w:r>
          </w:p>
        </w:tc>
        <w:tc>
          <w:tcPr>
            <w:tcW w:w="2191" w:type="dxa"/>
            <w:gridSpan w:val="4"/>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eastAsia="Times New Roman" w:cs="Calibri" w:cstheme="minorHAnsi"/>
                <w:b/>
                <w:b/>
                <w:lang w:eastAsia="hu-HU"/>
              </w:rPr>
            </w:pPr>
            <w:r>
              <w:rPr>
                <w:rFonts w:eastAsia="Times New Roman" w:cs="Calibri" w:cstheme="minorHAnsi"/>
                <w:b/>
                <w:lang w:eastAsia="hu-HU"/>
              </w:rPr>
              <w:t>2015</w:t>
            </w:r>
          </w:p>
        </w:tc>
        <w:tc>
          <w:tcPr>
            <w:tcW w:w="2134" w:type="dxa"/>
            <w:gridSpan w:val="4"/>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eastAsia="Times New Roman" w:cs="Calibri" w:cstheme="minorHAnsi"/>
                <w:b/>
                <w:b/>
                <w:lang w:eastAsia="hu-HU"/>
              </w:rPr>
            </w:pPr>
            <w:r>
              <w:rPr>
                <w:rFonts w:eastAsia="Times New Roman" w:cs="Calibri" w:cstheme="minorHAnsi"/>
                <w:b/>
                <w:lang w:eastAsia="hu-HU"/>
              </w:rPr>
              <w:t>2016</w:t>
            </w:r>
          </w:p>
        </w:tc>
        <w:tc>
          <w:tcPr>
            <w:tcW w:w="2133" w:type="dxa"/>
            <w:gridSpan w:val="4"/>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eastAsia="Times New Roman" w:cs="Calibri" w:cstheme="minorHAnsi"/>
                <w:b/>
                <w:b/>
                <w:lang w:eastAsia="hu-HU"/>
              </w:rPr>
            </w:pPr>
            <w:r>
              <w:rPr>
                <w:rFonts w:eastAsia="Times New Roman" w:cs="Calibri" w:cstheme="minorHAnsi"/>
                <w:b/>
                <w:lang w:eastAsia="hu-HU"/>
              </w:rPr>
              <w:t>2017</w:t>
            </w:r>
          </w:p>
        </w:tc>
        <w:tc>
          <w:tcPr>
            <w:tcW w:w="2201" w:type="dxa"/>
            <w:gridSpan w:val="3"/>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eastAsia="Times New Roman" w:cs="Calibri" w:cstheme="minorHAnsi"/>
                <w:b/>
                <w:b/>
                <w:lang w:eastAsia="hu-HU"/>
              </w:rPr>
            </w:pPr>
            <w:r>
              <w:rPr>
                <w:rFonts w:eastAsia="Times New Roman" w:cs="Calibri" w:cstheme="minorHAnsi"/>
                <w:b/>
                <w:lang w:eastAsia="hu-HU"/>
              </w:rPr>
              <w:t>2018</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Jelentkezés</w:t>
            </w:r>
          </w:p>
        </w:tc>
        <w:tc>
          <w:tcPr>
            <w:tcW w:w="738"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ascii="Calibri" w:hAnsi="Calibri" w:eastAsia="Times New Roman" w:cs="Calibri"/>
                <w:bCs/>
                <w:color w:val="000000"/>
                <w:lang w:eastAsia="hu-HU"/>
              </w:rPr>
            </w:pPr>
            <w:r>
              <w:rPr>
                <w:rFonts w:eastAsia="Times New Roman" w:cs="Calibri"/>
                <w:bCs/>
                <w:color w:val="000000"/>
                <w:lang w:eastAsia="hu-HU"/>
              </w:rPr>
              <w:t>összj</w:t>
            </w:r>
          </w:p>
        </w:tc>
        <w:tc>
          <w:tcPr>
            <w:tcW w:w="744"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első helyes</w:t>
            </w:r>
          </w:p>
        </w:tc>
        <w:tc>
          <w:tcPr>
            <w:tcW w:w="708"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felvett</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bCs/>
                <w:color w:val="000000"/>
                <w:lang w:eastAsia="hu-HU"/>
              </w:rPr>
            </w:pPr>
            <w:r>
              <w:rPr>
                <w:rFonts w:eastAsia="Times New Roman" w:cs="Calibri" w:cstheme="minorHAnsi"/>
                <w:bCs/>
                <w:color w:val="000000"/>
                <w:lang w:eastAsia="hu-HU"/>
              </w:rPr>
              <w:t>összj</w:t>
            </w:r>
          </w:p>
        </w:tc>
        <w:tc>
          <w:tcPr>
            <w:tcW w:w="742"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első helyes</w:t>
            </w:r>
          </w:p>
        </w:tc>
        <w:tc>
          <w:tcPr>
            <w:tcW w:w="709"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felvett</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bCs/>
                <w:color w:val="000000"/>
                <w:lang w:eastAsia="hu-HU"/>
              </w:rPr>
            </w:pPr>
            <w:r>
              <w:rPr>
                <w:rFonts w:eastAsia="Times New Roman" w:cs="Calibri" w:cstheme="minorHAnsi"/>
                <w:bCs/>
                <w:color w:val="000000"/>
                <w:lang w:eastAsia="hu-HU"/>
              </w:rPr>
              <w:t>összj</w:t>
            </w:r>
          </w:p>
        </w:tc>
        <w:tc>
          <w:tcPr>
            <w:tcW w:w="742"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első helyes</w:t>
            </w:r>
          </w:p>
        </w:tc>
        <w:tc>
          <w:tcPr>
            <w:tcW w:w="708"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felvett</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bCs/>
                <w:color w:val="000000"/>
                <w:lang w:eastAsia="hu-HU"/>
              </w:rPr>
            </w:pPr>
            <w:r>
              <w:rPr>
                <w:rFonts w:eastAsia="Times New Roman" w:cs="Calibri" w:cstheme="minorHAnsi"/>
                <w:bCs/>
                <w:color w:val="000000"/>
                <w:lang w:eastAsia="hu-HU"/>
              </w:rPr>
              <w:t>összj</w:t>
            </w:r>
          </w:p>
        </w:tc>
        <w:tc>
          <w:tcPr>
            <w:tcW w:w="811"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első helyes</w:t>
            </w:r>
          </w:p>
        </w:tc>
        <w:tc>
          <w:tcPr>
            <w:tcW w:w="708"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rPr>
                <w:rFonts w:eastAsia="Times New Roman" w:cs="Calibri" w:cstheme="minorHAnsi"/>
                <w:lang w:eastAsia="hu-HU"/>
              </w:rPr>
            </w:pPr>
            <w:r>
              <w:rPr>
                <w:rFonts w:eastAsia="Times New Roman" w:cs="Calibri" w:cstheme="minorHAnsi"/>
                <w:lang w:eastAsia="hu-HU"/>
              </w:rPr>
              <w:t>felvett</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AVK</w:t>
            </w:r>
          </w:p>
        </w:tc>
        <w:tc>
          <w:tcPr>
            <w:tcW w:w="73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9"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811"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Gyöngyös</w:t>
            </w:r>
          </w:p>
        </w:tc>
        <w:tc>
          <w:tcPr>
            <w:tcW w:w="738"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686</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160</w:t>
            </w:r>
          </w:p>
        </w:tc>
        <w:tc>
          <w:tcPr>
            <w:tcW w:w="708"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90</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674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166</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115</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473</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127</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72</w:t>
            </w:r>
          </w:p>
        </w:tc>
        <w:tc>
          <w:tcPr>
            <w:tcW w:w="683" w:type="dxa"/>
            <w:gridSpan w:val="2"/>
            <w:tcBorders>
              <w:top w:val="single" w:sz="4" w:space="0" w:color="000000"/>
              <w:left w:val="single" w:sz="4" w:space="0" w:color="000000"/>
              <w:bottom w:val="single" w:sz="4" w:space="0" w:color="000000"/>
              <w:right w:val="single" w:sz="4" w:space="0" w:color="000000"/>
            </w:tcBorders>
            <w:shd w:color="000000" w:fill="FF0000" w:val="clear"/>
            <w:vAlign w:val="cente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462</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84</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95</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22</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9</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21</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683" w:type="dxa"/>
            <w:gridSpan w:val="2"/>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102</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30</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27</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Sárospatak</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21</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79</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21</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70</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27</w:t>
            </w:r>
          </w:p>
        </w:tc>
        <w:tc>
          <w:tcPr>
            <w:tcW w:w="708" w:type="dxa"/>
            <w:tcBorders>
              <w:top w:val="single" w:sz="4" w:space="0" w:color="000000"/>
              <w:left w:val="single" w:sz="4" w:space="0" w:color="000000"/>
              <w:bottom w:val="single" w:sz="4" w:space="0" w:color="000000"/>
              <w:right w:val="single" w:sz="4" w:space="0" w:color="000000"/>
            </w:tcBorders>
            <w:shd w:color="auto"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23</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i/>
                <w:i/>
                <w:iCs/>
                <w:color w:val="000000"/>
                <w:lang w:eastAsia="hu-HU"/>
              </w:rPr>
            </w:pPr>
            <w:r>
              <w:rPr>
                <w:rFonts w:eastAsia="Times New Roman" w:cs="Calibri"/>
                <w:b/>
                <w:i/>
                <w:iCs/>
                <w:color w:val="000000"/>
                <w:lang w:eastAsia="hu-HU"/>
              </w:rPr>
              <w:t>Összesen</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686</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160</w:t>
            </w:r>
          </w:p>
        </w:tc>
        <w:tc>
          <w:tcPr>
            <w:tcW w:w="70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90</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805</w:t>
            </w:r>
          </w:p>
        </w:tc>
        <w:tc>
          <w:tcPr>
            <w:tcW w:w="742"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209</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140</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636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180</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109</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634</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167</w:t>
            </w:r>
          </w:p>
        </w:tc>
        <w:tc>
          <w:tcPr>
            <w:tcW w:w="708" w:type="dxa"/>
            <w:tcBorders>
              <w:top w:val="single" w:sz="4" w:space="0" w:color="000000"/>
              <w:left w:val="single" w:sz="4" w:space="0" w:color="000000"/>
              <w:bottom w:val="single" w:sz="4" w:space="0" w:color="000000"/>
              <w:right w:val="single" w:sz="4" w:space="0" w:color="000000"/>
            </w:tcBorders>
            <w:shd w:color="auto" w:fill="92D050" w:val="clear"/>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134</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BTK</w:t>
            </w:r>
          </w:p>
        </w:tc>
        <w:tc>
          <w:tcPr>
            <w:tcW w:w="73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9"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811"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1531</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411</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337</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1746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488</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364</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2010</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602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441</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1989</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614</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455</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i/>
                <w:i/>
                <w:iCs/>
                <w:color w:val="000000"/>
                <w:lang w:eastAsia="hu-HU"/>
              </w:rPr>
            </w:pPr>
            <w:r>
              <w:rPr>
                <w:rFonts w:eastAsia="Times New Roman" w:cs="Calibri"/>
                <w:i/>
                <w:iCs/>
                <w:color w:val="000000"/>
                <w:lang w:eastAsia="hu-HU"/>
              </w:rPr>
              <w:t>Összesen</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1531</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411</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337</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1746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488</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364</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2010</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602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441</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1989</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614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455</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GTK</w:t>
            </w:r>
          </w:p>
        </w:tc>
        <w:tc>
          <w:tcPr>
            <w:tcW w:w="73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9"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811"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1218</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292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218</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1692</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403</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260</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1609</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399</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276</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lang w:eastAsia="hu-HU"/>
              </w:rPr>
            </w:pPr>
            <w:r>
              <w:rPr>
                <w:rFonts w:eastAsia="Times New Roman" w:cs="Calibri"/>
                <w:lang w:eastAsia="hu-HU"/>
              </w:rPr>
              <w:t>1451</w:t>
            </w:r>
          </w:p>
        </w:tc>
        <w:tc>
          <w:tcPr>
            <w:tcW w:w="811" w:type="dxa"/>
            <w:tcBorders>
              <w:top w:val="single" w:sz="4" w:space="0" w:color="000000"/>
              <w:left w:val="single" w:sz="4" w:space="0" w:color="000000"/>
              <w:bottom w:val="single" w:sz="4" w:space="0" w:color="000000"/>
              <w:right w:val="single" w:sz="4" w:space="0" w:color="000000"/>
            </w:tcBorders>
            <w:shd w:color="auto" w:fill="FFFF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402</w:t>
            </w:r>
          </w:p>
        </w:tc>
        <w:tc>
          <w:tcPr>
            <w:tcW w:w="708" w:type="dxa"/>
            <w:tcBorders>
              <w:top w:val="single" w:sz="4" w:space="0" w:color="000000"/>
              <w:left w:val="single" w:sz="4" w:space="0" w:color="000000"/>
              <w:bottom w:val="single" w:sz="4" w:space="0" w:color="000000"/>
              <w:right w:val="single" w:sz="4" w:space="0" w:color="000000"/>
            </w:tcBorders>
            <w:shd w:color="auto" w:fill="FFFF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311</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Gyöngyös</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1206</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258</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177</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1430</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341</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228</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1047</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253</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173</w:t>
            </w:r>
          </w:p>
        </w:tc>
        <w:tc>
          <w:tcPr>
            <w:tcW w:w="683" w:type="dxa"/>
            <w:gridSpan w:val="2"/>
            <w:tcBorders>
              <w:top w:val="single" w:sz="4" w:space="0" w:color="000000"/>
              <w:left w:val="single" w:sz="4" w:space="0" w:color="000000"/>
              <w:bottom w:val="single" w:sz="4" w:space="0" w:color="000000"/>
              <w:right w:val="single" w:sz="4" w:space="0" w:color="000000"/>
            </w:tcBorders>
            <w:shd w:color="auto" w:fill="FFFF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1112</w:t>
            </w:r>
          </w:p>
        </w:tc>
        <w:tc>
          <w:tcPr>
            <w:tcW w:w="811" w:type="dxa"/>
            <w:tcBorders>
              <w:top w:val="single" w:sz="4" w:space="0" w:color="000000"/>
              <w:left w:val="single" w:sz="4" w:space="0" w:color="000000"/>
              <w:bottom w:val="single" w:sz="4" w:space="0" w:color="000000"/>
              <w:right w:val="single" w:sz="4" w:space="0" w:color="000000"/>
            </w:tcBorders>
            <w:shd w:color="auto" w:fill="FFFF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268</w:t>
            </w:r>
          </w:p>
        </w:tc>
        <w:tc>
          <w:tcPr>
            <w:tcW w:w="708" w:type="dxa"/>
            <w:tcBorders>
              <w:top w:val="single" w:sz="4" w:space="0" w:color="000000"/>
              <w:left w:val="single" w:sz="4" w:space="0" w:color="000000"/>
              <w:bottom w:val="single" w:sz="4" w:space="0" w:color="000000"/>
              <w:right w:val="single" w:sz="4" w:space="0" w:color="000000"/>
            </w:tcBorders>
            <w:shd w:color="auto" w:fill="FFFF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208</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Sárospatak</w:t>
            </w:r>
          </w:p>
        </w:tc>
        <w:tc>
          <w:tcPr>
            <w:tcW w:w="738"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49</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18</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13</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18</w:t>
            </w:r>
          </w:p>
        </w:tc>
        <w:tc>
          <w:tcPr>
            <w:tcW w:w="683" w:type="dxa"/>
            <w:gridSpan w:val="2"/>
            <w:tcBorders>
              <w:top w:val="single" w:sz="4" w:space="0" w:color="000000"/>
              <w:left w:val="single" w:sz="4" w:space="0" w:color="000000"/>
              <w:bottom w:val="single" w:sz="4" w:space="0" w:color="000000"/>
              <w:right w:val="single" w:sz="4" w:space="0" w:color="000000"/>
            </w:tcBorders>
            <w:shd w:color="000000"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25</w:t>
            </w:r>
          </w:p>
        </w:tc>
        <w:tc>
          <w:tcPr>
            <w:tcW w:w="811"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w:t>
            </w:r>
          </w:p>
        </w:tc>
        <w:tc>
          <w:tcPr>
            <w:tcW w:w="708" w:type="dxa"/>
            <w:tcBorders>
              <w:top w:val="single" w:sz="4" w:space="0" w:color="000000"/>
              <w:left w:val="single" w:sz="4" w:space="0" w:color="000000"/>
              <w:bottom w:val="single" w:sz="4" w:space="0" w:color="000000"/>
              <w:right w:val="single" w:sz="4" w:space="0" w:color="000000"/>
            </w:tcBorders>
            <w:shd w:color="auto" w:fill="FF00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Jászberény</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50</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72</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19</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43</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w:t>
            </w:r>
          </w:p>
        </w:tc>
        <w:tc>
          <w:tcPr>
            <w:tcW w:w="68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59</w:t>
            </w:r>
          </w:p>
        </w:tc>
        <w:tc>
          <w:tcPr>
            <w:tcW w:w="811"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21</w:t>
            </w:r>
          </w:p>
        </w:tc>
        <w:tc>
          <w:tcPr>
            <w:tcW w:w="708" w:type="dxa"/>
            <w:tcBorders>
              <w:top w:val="single" w:sz="4" w:space="0" w:color="000000"/>
              <w:left w:val="single" w:sz="4" w:space="0" w:color="000000"/>
              <w:bottom w:val="single" w:sz="4" w:space="0" w:color="000000"/>
              <w:right w:val="single" w:sz="4" w:space="0" w:color="000000"/>
            </w:tcBorders>
            <w:shd w:color="auto" w:fill="FF00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lang w:eastAsia="hu-HU"/>
              </w:rPr>
              <w:t>0</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i/>
                <w:i/>
                <w:iCs/>
                <w:color w:val="000000"/>
                <w:lang w:eastAsia="hu-HU"/>
              </w:rPr>
            </w:pPr>
            <w:r>
              <w:rPr>
                <w:rFonts w:eastAsia="Times New Roman" w:cs="Calibri"/>
                <w:b/>
                <w:i/>
                <w:iCs/>
                <w:color w:val="000000"/>
                <w:lang w:eastAsia="hu-HU"/>
              </w:rPr>
              <w:t>Összesen</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2523</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580</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420</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3238</w:t>
            </w:r>
          </w:p>
        </w:tc>
        <w:tc>
          <w:tcPr>
            <w:tcW w:w="742"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776</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511</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2733</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682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472</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2647</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699</w:t>
            </w:r>
          </w:p>
        </w:tc>
        <w:tc>
          <w:tcPr>
            <w:tcW w:w="708" w:type="dxa"/>
            <w:tcBorders>
              <w:top w:val="single" w:sz="4" w:space="0" w:color="000000"/>
              <w:left w:val="single" w:sz="4" w:space="0" w:color="000000"/>
              <w:bottom w:val="single" w:sz="4" w:space="0" w:color="000000"/>
              <w:right w:val="single" w:sz="4" w:space="0" w:color="000000"/>
            </w:tcBorders>
            <w:shd w:color="auto" w:fill="92D050" w:val="clear"/>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524</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PK</w:t>
            </w:r>
          </w:p>
        </w:tc>
        <w:tc>
          <w:tcPr>
            <w:tcW w:w="73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9"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811"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73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1234</w:t>
            </w:r>
          </w:p>
        </w:tc>
        <w:tc>
          <w:tcPr>
            <w:tcW w:w="744"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368</w:t>
            </w:r>
          </w:p>
        </w:tc>
        <w:tc>
          <w:tcPr>
            <w:tcW w:w="70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163</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1910</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550</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314</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2002</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648</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340</w:t>
            </w:r>
          </w:p>
        </w:tc>
        <w:tc>
          <w:tcPr>
            <w:tcW w:w="683" w:type="dxa"/>
            <w:gridSpan w:val="2"/>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2621</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843</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452</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Sárospatak</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452</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158</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72</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579</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179</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81</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546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151</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77</w:t>
            </w:r>
          </w:p>
        </w:tc>
        <w:tc>
          <w:tcPr>
            <w:tcW w:w="683" w:type="dxa"/>
            <w:gridSpan w:val="2"/>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431</w:t>
            </w:r>
          </w:p>
        </w:tc>
        <w:tc>
          <w:tcPr>
            <w:tcW w:w="811"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149</w:t>
            </w:r>
          </w:p>
        </w:tc>
        <w:tc>
          <w:tcPr>
            <w:tcW w:w="708" w:type="dxa"/>
            <w:tcBorders>
              <w:top w:val="single" w:sz="4" w:space="0" w:color="000000"/>
              <w:left w:val="single" w:sz="4" w:space="0" w:color="000000"/>
              <w:bottom w:val="single" w:sz="4" w:space="0" w:color="000000"/>
              <w:right w:val="single" w:sz="4" w:space="0" w:color="000000"/>
            </w:tcBorders>
            <w:shd w:color="auto" w:fill="FF00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71</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Jászberény</w:t>
            </w:r>
          </w:p>
        </w:tc>
        <w:tc>
          <w:tcPr>
            <w:tcW w:w="73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609</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179</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90</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1009</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234</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164</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716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222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95</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796</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265</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136</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i/>
                <w:i/>
                <w:iCs/>
                <w:color w:val="000000"/>
                <w:lang w:eastAsia="hu-HU"/>
              </w:rPr>
            </w:pPr>
            <w:r>
              <w:rPr>
                <w:rFonts w:eastAsia="Times New Roman" w:cs="Calibri"/>
                <w:b/>
                <w:i/>
                <w:iCs/>
                <w:color w:val="000000"/>
                <w:lang w:eastAsia="hu-HU"/>
              </w:rPr>
              <w:t>Összesen</w:t>
            </w:r>
          </w:p>
        </w:tc>
        <w:tc>
          <w:tcPr>
            <w:tcW w:w="73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2295</w:t>
            </w:r>
          </w:p>
        </w:tc>
        <w:tc>
          <w:tcPr>
            <w:tcW w:w="744"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705</w:t>
            </w:r>
          </w:p>
        </w:tc>
        <w:tc>
          <w:tcPr>
            <w:tcW w:w="70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325</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3498</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963</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559</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3264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1021</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512</w:t>
            </w:r>
          </w:p>
        </w:tc>
        <w:tc>
          <w:tcPr>
            <w:tcW w:w="683" w:type="dxa"/>
            <w:gridSpan w:val="2"/>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3848</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1257</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659</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TTK</w:t>
            </w:r>
          </w:p>
        </w:tc>
        <w:tc>
          <w:tcPr>
            <w:tcW w:w="73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r>
          </w:p>
        </w:tc>
        <w:tc>
          <w:tcPr>
            <w:tcW w:w="744"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9"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42"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683" w:type="dxa"/>
            <w:gridSpan w:val="2"/>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811" w:type="dxa"/>
            <w:tcBorders>
              <w:top w:val="single" w:sz="4" w:space="0" w:color="000000"/>
              <w:left w:val="single" w:sz="4" w:space="0" w:color="000000"/>
              <w:bottom w:val="single" w:sz="4" w:space="0" w:color="000000"/>
              <w:right w:val="single" w:sz="4" w:space="0" w:color="000000"/>
            </w:tcBorders>
            <w:shd w:color="auto" w:fill="5B9BD5" w:themeFill="accent1" w:val="clear"/>
            <w:vAlign w:val="bottom"/>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c>
          <w:tcPr>
            <w:tcW w:w="708" w:type="dxa"/>
            <w:tcBorders>
              <w:top w:val="single" w:sz="4" w:space="0" w:color="000000"/>
              <w:left w:val="single" w:sz="4" w:space="0" w:color="000000"/>
              <w:bottom w:val="single" w:sz="4" w:space="0" w:color="000000"/>
              <w:right w:val="single" w:sz="4" w:space="0" w:color="000000"/>
            </w:tcBorders>
            <w:shd w:color="auto" w:fill="5B9BD5" w:themeFill="accent1" w:val="clear"/>
          </w:tcPr>
          <w:p>
            <w:pPr>
              <w:pStyle w:val="Normal"/>
              <w:spacing w:lineRule="auto" w:line="240" w:before="0" w:after="0"/>
              <w:rPr>
                <w:rFonts w:ascii="Times New Roman" w:hAnsi="Times New Roman" w:eastAsia="Times New Roman" w:cs="Times New Roman"/>
                <w:sz w:val="20"/>
                <w:szCs w:val="20"/>
                <w:lang w:eastAsia="hu-HU"/>
              </w:rPr>
            </w:pPr>
            <w:r>
              <w:rPr>
                <w:rFonts w:eastAsia="Times New Roman" w:cs="Times New Roman" w:ascii="Times New Roman" w:hAnsi="Times New Roman"/>
                <w:sz w:val="20"/>
                <w:szCs w:val="20"/>
                <w:lang w:eastAsia="hu-HU"/>
              </w:rPr>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Eger</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2389</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612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484</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2885</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780</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595</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2802</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834</w:t>
            </w:r>
          </w:p>
        </w:tc>
        <w:tc>
          <w:tcPr>
            <w:tcW w:w="708"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605</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2589</w:t>
            </w:r>
          </w:p>
        </w:tc>
        <w:tc>
          <w:tcPr>
            <w:tcW w:w="811"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777</w:t>
            </w:r>
          </w:p>
        </w:tc>
        <w:tc>
          <w:tcPr>
            <w:tcW w:w="708" w:type="dxa"/>
            <w:tcBorders>
              <w:top w:val="single" w:sz="4" w:space="0" w:color="000000"/>
              <w:left w:val="single" w:sz="4" w:space="0" w:color="000000"/>
              <w:bottom w:val="single" w:sz="4" w:space="0" w:color="000000"/>
              <w:right w:val="single" w:sz="4" w:space="0" w:color="000000"/>
            </w:tcBorders>
            <w:shd w:color="auto" w:fill="FFC00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587</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Sárospatak</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20</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43</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15</w:t>
            </w:r>
          </w:p>
        </w:tc>
        <w:tc>
          <w:tcPr>
            <w:tcW w:w="709"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18</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63</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17</w:t>
            </w:r>
          </w:p>
        </w:tc>
        <w:tc>
          <w:tcPr>
            <w:tcW w:w="708" w:type="dxa"/>
            <w:tcBorders>
              <w:top w:val="single" w:sz="4" w:space="0" w:color="000000"/>
              <w:left w:val="single" w:sz="4" w:space="0" w:color="000000"/>
              <w:bottom w:val="single" w:sz="4" w:space="0" w:color="000000"/>
              <w:right w:val="single" w:sz="4" w:space="0" w:color="000000"/>
            </w:tcBorders>
            <w:shd w:color="auto" w:fill="FF0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w:t>
            </w:r>
          </w:p>
        </w:tc>
        <w:tc>
          <w:tcPr>
            <w:tcW w:w="683" w:type="dxa"/>
            <w:gridSpan w:val="2"/>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48</w:t>
            </w:r>
          </w:p>
        </w:tc>
        <w:tc>
          <w:tcPr>
            <w:tcW w:w="811" w:type="dxa"/>
            <w:tcBorders>
              <w:top w:val="single" w:sz="4" w:space="0" w:color="000000"/>
              <w:left w:val="single" w:sz="4" w:space="0" w:color="000000"/>
              <w:bottom w:val="single" w:sz="4" w:space="0" w:color="000000"/>
              <w:right w:val="single" w:sz="4" w:space="0" w:color="000000"/>
            </w:tcBorders>
            <w:shd w:color="auto" w:fill="FFC00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8</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color w:val="000000"/>
                <w:lang w:eastAsia="hu-HU"/>
              </w:rPr>
            </w:pPr>
            <w:r>
              <w:rPr>
                <w:rFonts w:eastAsia="Times New Roman" w:cs="Calibri"/>
                <w:color w:val="000000"/>
                <w:lang w:eastAsia="hu-HU"/>
              </w:rPr>
              <w:t>Jászberény</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0</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46</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14</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55</w:t>
            </w:r>
          </w:p>
        </w:tc>
        <w:tc>
          <w:tcPr>
            <w:tcW w:w="811" w:type="dxa"/>
            <w:tcBorders>
              <w:top w:val="single" w:sz="4" w:space="0" w:color="000000"/>
              <w:left w:val="single" w:sz="4" w:space="0" w:color="000000"/>
              <w:bottom w:val="single" w:sz="4" w:space="0" w:color="000000"/>
              <w:right w:val="single" w:sz="4" w:space="0" w:color="000000"/>
            </w:tcBorders>
            <w:shd w:color="000000" w:fill="92D050" w:val="clear"/>
            <w:vAlign w:val="bottom"/>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16</w:t>
            </w:r>
          </w:p>
        </w:tc>
        <w:tc>
          <w:tcPr>
            <w:tcW w:w="708" w:type="dxa"/>
            <w:tcBorders>
              <w:top w:val="single" w:sz="4" w:space="0" w:color="000000"/>
              <w:left w:val="single" w:sz="4" w:space="0" w:color="000000"/>
              <w:bottom w:val="single" w:sz="4" w:space="0" w:color="000000"/>
              <w:right w:val="single" w:sz="4" w:space="0" w:color="000000"/>
            </w:tcBorders>
            <w:shd w:color="000000" w:fill="92D050" w:val="clear"/>
          </w:tcPr>
          <w:p>
            <w:pPr>
              <w:pStyle w:val="Normal"/>
              <w:spacing w:lineRule="auto" w:line="240" w:before="0" w:after="0"/>
              <w:jc w:val="center"/>
              <w:rPr>
                <w:rFonts w:ascii="Calibri" w:hAnsi="Calibri" w:eastAsia="Times New Roman" w:cs="Calibri"/>
                <w:color w:val="000000"/>
                <w:lang w:eastAsia="hu-HU"/>
              </w:rPr>
            </w:pPr>
            <w:r>
              <w:rPr>
                <w:rFonts w:eastAsia="Times New Roman" w:cs="Calibri"/>
                <w:color w:val="000000"/>
                <w:lang w:eastAsia="hu-HU"/>
              </w:rPr>
              <w:t>19</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i/>
                <w:i/>
                <w:iCs/>
                <w:color w:val="000000"/>
                <w:lang w:eastAsia="hu-HU"/>
              </w:rPr>
            </w:pPr>
            <w:r>
              <w:rPr>
                <w:rFonts w:eastAsia="Times New Roman" w:cs="Calibri"/>
                <w:b/>
                <w:i/>
                <w:iCs/>
                <w:color w:val="000000"/>
                <w:lang w:eastAsia="hu-HU"/>
              </w:rPr>
              <w:t>Összesen</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2409</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616</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490</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2928</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795</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613</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2911</w:t>
            </w:r>
          </w:p>
        </w:tc>
        <w:tc>
          <w:tcPr>
            <w:tcW w:w="742"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865</w:t>
            </w:r>
          </w:p>
        </w:tc>
        <w:tc>
          <w:tcPr>
            <w:tcW w:w="708"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623</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2692</w:t>
            </w:r>
          </w:p>
        </w:tc>
        <w:tc>
          <w:tcPr>
            <w:tcW w:w="8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809</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Calibri" w:hAnsi="Calibri" w:eastAsia="Times New Roman" w:cs="Calibri"/>
                <w:i/>
                <w:i/>
                <w:iCs/>
                <w:color w:val="000000"/>
                <w:lang w:eastAsia="hu-HU"/>
              </w:rPr>
            </w:pPr>
            <w:r>
              <w:rPr>
                <w:rFonts w:eastAsia="Times New Roman" w:cs="Calibri"/>
                <w:i/>
                <w:iCs/>
                <w:color w:val="000000"/>
                <w:lang w:eastAsia="hu-HU"/>
              </w:rPr>
              <w:t>614</w:t>
            </w:r>
          </w:p>
        </w:tc>
      </w:tr>
      <w:tr>
        <w:trPr>
          <w:trHeight w:val="300" w:hRule="atLeast"/>
        </w:trPr>
        <w:tc>
          <w:tcPr>
            <w:tcW w:w="140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rPr>
                <w:rFonts w:ascii="Calibri" w:hAnsi="Calibri" w:eastAsia="Times New Roman" w:cs="Calibri"/>
                <w:b/>
                <w:b/>
                <w:bCs/>
                <w:color w:val="000000"/>
                <w:lang w:eastAsia="hu-HU"/>
              </w:rPr>
            </w:pPr>
            <w:r>
              <w:rPr>
                <w:rFonts w:eastAsia="Times New Roman" w:cs="Calibri"/>
                <w:b/>
                <w:bCs/>
                <w:color w:val="000000"/>
                <w:lang w:eastAsia="hu-HU"/>
              </w:rPr>
              <w:t>Mindösszesen</w:t>
            </w:r>
          </w:p>
        </w:tc>
        <w:tc>
          <w:tcPr>
            <w:tcW w:w="73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9444</w:t>
            </w:r>
          </w:p>
        </w:tc>
        <w:tc>
          <w:tcPr>
            <w:tcW w:w="74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2472</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1662</w:t>
            </w:r>
          </w:p>
        </w:tc>
        <w:tc>
          <w:tcPr>
            <w:tcW w:w="683" w:type="dxa"/>
            <w:gridSpan w:val="2"/>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12215</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3231</w:t>
            </w:r>
          </w:p>
        </w:tc>
        <w:tc>
          <w:tcPr>
            <w:tcW w:w="70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2187</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11554</w:t>
            </w:r>
          </w:p>
        </w:tc>
        <w:tc>
          <w:tcPr>
            <w:tcW w:w="74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3350</w:t>
            </w:r>
          </w:p>
        </w:tc>
        <w:tc>
          <w:tcPr>
            <w:tcW w:w="70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2157</w:t>
            </w:r>
          </w:p>
        </w:tc>
        <w:tc>
          <w:tcPr>
            <w:tcW w:w="683"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11810</w:t>
            </w:r>
          </w:p>
        </w:tc>
        <w:tc>
          <w:tcPr>
            <w:tcW w:w="811" w:type="dxa"/>
            <w:tcBorders>
              <w:top w:val="single" w:sz="4" w:space="0" w:color="000000"/>
              <w:left w:val="single" w:sz="4" w:space="0" w:color="000000"/>
              <w:bottom w:val="single" w:sz="4" w:space="0" w:color="000000"/>
              <w:right w:val="single" w:sz="4" w:space="0" w:color="000000"/>
            </w:tcBorders>
            <w:shd w:color="auto" w:fill="92D050" w:val="clear"/>
            <w:vAlign w:val="bottom"/>
          </w:tcPr>
          <w:p>
            <w:pPr>
              <w:pStyle w:val="Normal"/>
              <w:spacing w:lineRule="auto" w:line="240" w:before="0" w:after="0"/>
              <w:jc w:val="right"/>
              <w:rPr>
                <w:rFonts w:ascii="Calibri" w:hAnsi="Calibri" w:eastAsia="Times New Roman" w:cs="Calibri"/>
                <w:b/>
                <w:b/>
                <w:bCs/>
                <w:color w:val="000000"/>
                <w:lang w:eastAsia="hu-HU"/>
              </w:rPr>
            </w:pPr>
            <w:r>
              <w:rPr>
                <w:rFonts w:eastAsia="Times New Roman" w:cs="Calibri"/>
                <w:b/>
                <w:bCs/>
                <w:color w:val="000000"/>
                <w:lang w:eastAsia="hu-HU"/>
              </w:rPr>
              <w:t>3546</w:t>
            </w:r>
          </w:p>
        </w:tc>
        <w:tc>
          <w:tcPr>
            <w:tcW w:w="708" w:type="dxa"/>
            <w:tcBorders>
              <w:top w:val="single" w:sz="4" w:space="0" w:color="000000"/>
              <w:left w:val="single" w:sz="4" w:space="0" w:color="000000"/>
              <w:bottom w:val="single" w:sz="4" w:space="0" w:color="000000"/>
              <w:right w:val="single" w:sz="4" w:space="0" w:color="000000"/>
            </w:tcBorders>
            <w:shd w:color="auto" w:fill="92D050" w:val="clear"/>
          </w:tcPr>
          <w:p>
            <w:pPr>
              <w:pStyle w:val="Normal"/>
              <w:spacing w:lineRule="auto" w:line="240" w:before="0" w:after="0"/>
              <w:jc w:val="center"/>
              <w:rPr>
                <w:rFonts w:ascii="Calibri" w:hAnsi="Calibri" w:eastAsia="Times New Roman" w:cs="Calibri"/>
                <w:b/>
                <w:b/>
                <w:bCs/>
                <w:color w:val="000000"/>
                <w:lang w:eastAsia="hu-HU"/>
              </w:rPr>
            </w:pPr>
            <w:r>
              <w:rPr>
                <w:rFonts w:eastAsia="Times New Roman" w:cs="Calibri"/>
                <w:b/>
                <w:bCs/>
                <w:color w:val="000000"/>
                <w:lang w:eastAsia="hu-HU"/>
              </w:rPr>
              <w:t>2386</w:t>
            </w:r>
          </w:p>
        </w:tc>
      </w:tr>
    </w:tbl>
    <w:p>
      <w:pPr>
        <w:pStyle w:val="Normal"/>
        <w:jc w:val="both"/>
        <w:rPr/>
      </w:pPr>
      <w:r>
        <w:rPr/>
      </w:r>
    </w:p>
    <w:p>
      <w:pPr>
        <w:pStyle w:val="Normal"/>
        <w:rPr/>
      </w:pPr>
      <w:r>
        <w:rPr/>
      </w:r>
      <w:r>
        <w:br w:type="page"/>
      </w:r>
    </w:p>
    <w:p>
      <w:pPr>
        <w:pStyle w:val="Normal"/>
        <w:jc w:val="both"/>
        <w:rPr/>
      </w:pPr>
      <w:r>
        <w:rPr/>
        <w:t xml:space="preserve">Ebből a legszembetűnőbb folyamat, hogy a sárospataki képzési helyszín Gazdaságtudományi Karhoz és Pedagógia Karhoz tartozó adatai minden elemében csökkenést mutatnak; az AVK-s képzésekre az összjelentkezői létszám csökkent az előző évhez képest. A TTK adatai enyhe csökkenést mutatnak az előző évihez képest (8%-os összjelentkezői, 7%-os első helyes, 3%-os felvett hallgatói létszám). </w:t>
      </w:r>
    </w:p>
    <w:p>
      <w:pPr>
        <w:pStyle w:val="Normal"/>
        <w:jc w:val="both"/>
        <w:rPr/>
      </w:pPr>
      <w:r>
        <w:rPr/>
        <w:t>Az előző évihez (2017) képest csökkent a GTK egri képzési helyszínére jelentkezők száma, ám nőtt mind az első helyes jelentkezői szám és a felvettek száma is. A GTK gyöngyösi létszámai is növekedést mutatnak az előző évihez képest, minden adat elemet figyelembe véve.</w:t>
      </w:r>
    </w:p>
    <w:p>
      <w:pPr>
        <w:pStyle w:val="Normal"/>
        <w:jc w:val="both"/>
        <w:rPr/>
      </w:pPr>
      <w:r>
        <w:rPr/>
      </w:r>
    </w:p>
    <w:p>
      <w:pPr>
        <w:pStyle w:val="Normal"/>
        <w:spacing w:before="0" w:after="160"/>
        <w:jc w:val="both"/>
        <w:rPr/>
      </w:pPr>
      <w:r>
        <w:rPr/>
      </w:r>
    </w:p>
    <w:sectPr>
      <w:headerReference w:type="default" r:id="rId40"/>
      <w:footerReference w:type="default" r:id="rId41"/>
      <w:type w:val="nextPage"/>
      <w:pgSz w:w="11906" w:h="16838"/>
      <w:pgMar w:left="1417" w:right="1417" w:header="708" w:top="1417" w:footer="708" w:bottom="1417"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auto"/>
    <w:pitch w:val="default"/>
  </w:font>
  <w:font w:name="Verdana">
    <w:charset w:val="01"/>
    <w:family w:val="roman"/>
    <w:pitch w:val="variable"/>
  </w:font>
  <w:font w:name="Wingdings">
    <w:charset w:val="02"/>
    <w:family w:val="roman"/>
    <w:pitch w:val="variable"/>
  </w:font>
  <w:font w:name="Times New Roman">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0328665"/>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114300" distR="114300" simplePos="0" locked="0" layoutInCell="1" allowOverlap="1" relativeHeight="91" wp14:anchorId="1B366052">
              <wp:simplePos x="0" y="0"/>
              <wp:positionH relativeFrom="page">
                <wp:posOffset>4343400</wp:posOffset>
              </wp:positionH>
              <wp:positionV relativeFrom="paragraph">
                <wp:posOffset>-392430</wp:posOffset>
              </wp:positionV>
              <wp:extent cx="3086735" cy="829310"/>
              <wp:effectExtent l="0" t="0" r="0" b="9525"/>
              <wp:wrapSquare wrapText="bothSides"/>
              <wp:docPr id="44" name="Szövegdoboz 2"/>
              <a:graphic xmlns:a="http://schemas.openxmlformats.org/drawingml/2006/main">
                <a:graphicData uri="http://schemas.microsoft.com/office/word/2010/wordprocessingShape">
                  <wps:wsp>
                    <wps:cNvSpPr/>
                    <wps:spPr>
                      <a:xfrm>
                        <a:off x="0" y="0"/>
                        <a:ext cx="3086280" cy="828720"/>
                      </a:xfrm>
                      <a:prstGeom prst="rect">
                        <a:avLst/>
                      </a:prstGeom>
                      <a:solidFill>
                        <a:srgbClr val="ffffff"/>
                      </a:solidFill>
                      <a:ln w="9360">
                        <a:noFill/>
                      </a:ln>
                    </wps:spPr>
                    <wps:style>
                      <a:lnRef idx="0"/>
                      <a:fillRef idx="0"/>
                      <a:effectRef idx="0"/>
                      <a:fontRef idx="minor"/>
                    </wps:style>
                    <wps:txbx>
                      <w:txbxContent>
                        <w:p>
                          <w:pPr>
                            <w:pStyle w:val="Header"/>
                            <w:tabs>
                              <w:tab w:val="clear" w:pos="4536"/>
                              <w:tab w:val="clear" w:pos="9072"/>
                            </w:tabs>
                            <w:ind w:right="-284" w:firstLine="284"/>
                            <w:jc w:val="right"/>
                            <w:rPr>
                              <w:rFonts w:cs="Arial"/>
                              <w:color w:val="auto"/>
                            </w:rPr>
                          </w:pPr>
                          <w:r>
                            <w:rPr>
                              <w:rFonts w:cs="Arial"/>
                              <w:color w:val="auto"/>
                            </w:rPr>
                          </w:r>
                        </w:p>
                        <w:p>
                          <w:pPr>
                            <w:pStyle w:val="Header"/>
                            <w:ind w:right="-284" w:hanging="0"/>
                            <w:jc w:val="center"/>
                            <w:rPr>
                              <w:rFonts w:cs="Arial"/>
                              <w:b/>
                              <w:b/>
                              <w:sz w:val="18"/>
                              <w:szCs w:val="18"/>
                            </w:rPr>
                          </w:pPr>
                          <w:r>
                            <w:rPr>
                              <w:rFonts w:cs="Arial"/>
                              <w:b/>
                              <w:color w:val="auto"/>
                              <w:sz w:val="18"/>
                              <w:szCs w:val="18"/>
                            </w:rPr>
                            <w:t>EFOP-3.4.3-16-206-00010</w:t>
                          </w:r>
                        </w:p>
                        <w:p>
                          <w:pPr>
                            <w:pStyle w:val="Header"/>
                            <w:ind w:right="-284" w:hanging="0"/>
                            <w:jc w:val="center"/>
                            <w:rPr>
                              <w:sz w:val="28"/>
                              <w:szCs w:val="28"/>
                            </w:rPr>
                          </w:pPr>
                          <w:r>
                            <w:rPr>
                              <w:rFonts w:cs="Arial"/>
                              <w:color w:val="auto"/>
                              <w:sz w:val="18"/>
                              <w:szCs w:val="18"/>
                            </w:rPr>
                            <w:t>„</w:t>
                          </w:r>
                          <w:r>
                            <w:rPr>
                              <w:rFonts w:cs="Arial"/>
                              <w:color w:val="auto"/>
                              <w:sz w:val="18"/>
                              <w:szCs w:val="18"/>
                            </w:rPr>
                            <w:t xml:space="preserve">Az Eszterházy Károly Egyetem fejlesztése a felsőfokú oktatás minőségének és hozzáférhetőségének </w:t>
                            <w:br/>
                            <w:t>együttes javítása érdekében</w:t>
                          </w:r>
                        </w:p>
                      </w:txbxContent>
                    </wps:txbx>
                    <wps:bodyPr>
                      <a:noAutofit/>
                    </wps:bodyPr>
                  </wps:wsp>
                </a:graphicData>
              </a:graphic>
            </wp:anchor>
          </w:drawing>
        </mc:Choice>
        <mc:Fallback>
          <w:pict>
            <v:rect id="shape_0" ID="Szövegdoboz 2" fillcolor="white" stroked="f" style="position:absolute;margin-left:342pt;margin-top:-30.9pt;width:242.95pt;height:65.2pt;mso-position-horizontal-relative:page" wp14:anchorId="1B366052">
              <w10:wrap type="square"/>
              <v:fill o:detectmouseclick="t" type="solid" color2="black"/>
              <v:stroke color="#3465a4" weight="9360" joinstyle="miter" endcap="flat"/>
              <v:textbox>
                <w:txbxContent>
                  <w:p>
                    <w:pPr>
                      <w:pStyle w:val="Header"/>
                      <w:tabs>
                        <w:tab w:val="clear" w:pos="4536"/>
                        <w:tab w:val="clear" w:pos="9072"/>
                      </w:tabs>
                      <w:ind w:right="-284" w:firstLine="284"/>
                      <w:jc w:val="right"/>
                      <w:rPr>
                        <w:rFonts w:cs="Arial"/>
                        <w:color w:val="auto"/>
                      </w:rPr>
                    </w:pPr>
                    <w:r>
                      <w:rPr>
                        <w:rFonts w:cs="Arial"/>
                        <w:color w:val="auto"/>
                      </w:rPr>
                    </w:r>
                  </w:p>
                  <w:p>
                    <w:pPr>
                      <w:pStyle w:val="Header"/>
                      <w:ind w:right="-284" w:hanging="0"/>
                      <w:jc w:val="center"/>
                      <w:rPr>
                        <w:rFonts w:cs="Arial"/>
                        <w:b/>
                        <w:b/>
                        <w:sz w:val="18"/>
                        <w:szCs w:val="18"/>
                      </w:rPr>
                    </w:pPr>
                    <w:r>
                      <w:rPr>
                        <w:rFonts w:cs="Arial"/>
                        <w:b/>
                        <w:color w:val="auto"/>
                        <w:sz w:val="18"/>
                        <w:szCs w:val="18"/>
                      </w:rPr>
                      <w:t>EFOP-3.4.3-16-206-00010</w:t>
                    </w:r>
                  </w:p>
                  <w:p>
                    <w:pPr>
                      <w:pStyle w:val="Header"/>
                      <w:ind w:right="-284" w:hanging="0"/>
                      <w:jc w:val="center"/>
                      <w:rPr>
                        <w:sz w:val="28"/>
                        <w:szCs w:val="28"/>
                      </w:rPr>
                    </w:pPr>
                    <w:r>
                      <w:rPr>
                        <w:rFonts w:cs="Arial"/>
                        <w:color w:val="auto"/>
                        <w:sz w:val="18"/>
                        <w:szCs w:val="18"/>
                      </w:rPr>
                      <w:t>„</w:t>
                    </w:r>
                    <w:r>
                      <w:rPr>
                        <w:rFonts w:cs="Arial"/>
                        <w:color w:val="auto"/>
                        <w:sz w:val="18"/>
                        <w:szCs w:val="18"/>
                      </w:rPr>
                      <w:t xml:space="preserve">Az Eszterházy Károly Egyetem fejlesztése a felsőfokú oktatás minőségének és hozzáférhetőségének </w:t>
                      <w:br/>
                      <w:t>együttes javítása érdekében</w:t>
                    </w:r>
                  </w:p>
                </w:txbxContent>
              </v:textbox>
            </v:rect>
          </w:pict>
        </mc:Fallback>
      </mc:AlternateContent>
      <w:drawing>
        <wp:anchor behindDoc="1" distT="0" distB="0" distL="114300" distR="114300" simplePos="0" locked="0" layoutInCell="1" allowOverlap="1" relativeHeight="45">
          <wp:simplePos x="0" y="0"/>
          <wp:positionH relativeFrom="column">
            <wp:posOffset>-814070</wp:posOffset>
          </wp:positionH>
          <wp:positionV relativeFrom="paragraph">
            <wp:posOffset>-354330</wp:posOffset>
          </wp:positionV>
          <wp:extent cx="2438400" cy="748030"/>
          <wp:effectExtent l="0" t="0" r="0" b="0"/>
          <wp:wrapSquare wrapText="bothSides"/>
          <wp:docPr id="46" name="Kép 1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Kép 114" descr=""/>
                  <pic:cNvPicPr>
                    <a:picLocks noChangeAspect="1" noChangeArrowheads="1"/>
                  </pic:cNvPicPr>
                </pic:nvPicPr>
                <pic:blipFill>
                  <a:blip r:embed="rId1"/>
                  <a:stretch>
                    <a:fillRect/>
                  </a:stretch>
                </pic:blipFill>
                <pic:spPr bwMode="auto">
                  <a:xfrm>
                    <a:off x="0" y="0"/>
                    <a:ext cx="2438400" cy="7480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o"/>
      <w:lvlJc w:val="left"/>
      <w:pPr>
        <w:ind w:left="1425" w:hanging="360"/>
      </w:pPr>
      <w:rPr>
        <w:rFonts w:ascii="Courier New" w:hAnsi="Courier New" w:cs="Courier New" w:hint="default"/>
        <w:rFonts w:cs="Courier New"/>
      </w:rPr>
    </w:lvl>
    <w:lvl w:ilvl="1">
      <w:start w:val="1"/>
      <w:numFmt w:val="bullet"/>
      <w:lvlText w:val="o"/>
      <w:lvlJc w:val="left"/>
      <w:pPr>
        <w:ind w:left="2145" w:hanging="360"/>
      </w:pPr>
      <w:rPr>
        <w:rFonts w:ascii="Courier New" w:hAnsi="Courier New" w:cs="Courier New" w:hint="default"/>
        <w:rFonts w:cs="Courier New"/>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Fonts w:cs="Courier New"/>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Fonts w:cs="Courier New"/>
      </w:rPr>
    </w:lvl>
    <w:lvl w:ilvl="8">
      <w:start w:val="1"/>
      <w:numFmt w:val="bullet"/>
      <w:lvlText w:val=""/>
      <w:lvlJc w:val="left"/>
      <w:pPr>
        <w:ind w:left="7185"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Heading1">
    <w:name w:val="Heading 1"/>
    <w:basedOn w:val="Normal"/>
    <w:link w:val="Cmsor1Char"/>
    <w:uiPriority w:val="9"/>
    <w:qFormat/>
    <w:rsid w:val="00bd0ae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Cmsor2Char"/>
    <w:uiPriority w:val="9"/>
    <w:unhideWhenUsed/>
    <w:qFormat/>
    <w:rsid w:val="00bd0ae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link w:val="Cmsor3Char"/>
    <w:uiPriority w:val="9"/>
    <w:unhideWhenUsed/>
    <w:qFormat/>
    <w:rsid w:val="00330ff0"/>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qFormat/>
    <w:rsid w:val="00cb52ad"/>
    <w:rPr/>
  </w:style>
  <w:style w:type="character" w:styleId="LlbChar" w:customStyle="1">
    <w:name w:val="Élőláb Char"/>
    <w:basedOn w:val="DefaultParagraphFont"/>
    <w:link w:val="llb"/>
    <w:uiPriority w:val="99"/>
    <w:qFormat/>
    <w:rsid w:val="00cb52ad"/>
    <w:rPr/>
  </w:style>
  <w:style w:type="character" w:styleId="Cmsor1Char" w:customStyle="1">
    <w:name w:val="Címsor 1 Char"/>
    <w:basedOn w:val="DefaultParagraphFont"/>
    <w:link w:val="Cmsor1"/>
    <w:uiPriority w:val="9"/>
    <w:qFormat/>
    <w:rsid w:val="00bd0ae7"/>
    <w:rPr>
      <w:rFonts w:ascii="Calibri Light" w:hAnsi="Calibri Light" w:eastAsia="" w:cs="" w:asciiTheme="majorHAnsi" w:cstheme="majorBidi" w:eastAsiaTheme="majorEastAsia" w:hAnsiTheme="majorHAnsi"/>
      <w:color w:val="2E74B5" w:themeColor="accent1" w:themeShade="bf"/>
      <w:sz w:val="32"/>
      <w:szCs w:val="32"/>
    </w:rPr>
  </w:style>
  <w:style w:type="character" w:styleId="Cmsor2Char" w:customStyle="1">
    <w:name w:val="Címsor 2 Char"/>
    <w:basedOn w:val="DefaultParagraphFont"/>
    <w:link w:val="Cmsor2"/>
    <w:uiPriority w:val="9"/>
    <w:qFormat/>
    <w:rsid w:val="00bd0ae7"/>
    <w:rPr>
      <w:rFonts w:ascii="Calibri Light" w:hAnsi="Calibri Light" w:eastAsia="" w:cs="" w:asciiTheme="majorHAnsi" w:cstheme="majorBidi" w:eastAsiaTheme="majorEastAsia" w:hAnsiTheme="majorHAnsi"/>
      <w:color w:val="2E74B5" w:themeColor="accent1" w:themeShade="bf"/>
      <w:sz w:val="26"/>
      <w:szCs w:val="26"/>
    </w:rPr>
  </w:style>
  <w:style w:type="character" w:styleId="Cmsor3Char" w:customStyle="1">
    <w:name w:val="Címsor 3 Char"/>
    <w:basedOn w:val="DefaultParagraphFont"/>
    <w:link w:val="Cmsor3"/>
    <w:uiPriority w:val="9"/>
    <w:qFormat/>
    <w:rsid w:val="00330ff0"/>
    <w:rPr>
      <w:rFonts w:ascii="Calibri Light" w:hAnsi="Calibri Light" w:eastAsia="" w:cs="" w:asciiTheme="majorHAnsi" w:cstheme="majorBidi" w:eastAsiaTheme="majorEastAsia" w:hAnsiTheme="majorHAnsi"/>
      <w:color w:val="1F4D78" w:themeColor="accent1" w:themeShade="7f"/>
      <w:sz w:val="24"/>
      <w:szCs w:val="24"/>
    </w:rPr>
  </w:style>
  <w:style w:type="character" w:styleId="NincstrkzChar" w:customStyle="1">
    <w:name w:val="Nincs térköz Char"/>
    <w:basedOn w:val="DefaultParagraphFont"/>
    <w:link w:val="Nincstrkz"/>
    <w:uiPriority w:val="1"/>
    <w:qFormat/>
    <w:rsid w:val="00603238"/>
    <w:rPr>
      <w:rFonts w:eastAsia="" w:eastAsiaTheme="minorEastAsia"/>
      <w:lang w:eastAsia="hu-HU"/>
    </w:rPr>
  </w:style>
  <w:style w:type="character" w:styleId="InternetLink">
    <w:name w:val="Internet Link"/>
    <w:basedOn w:val="DefaultParagraphFont"/>
    <w:uiPriority w:val="99"/>
    <w:unhideWhenUsed/>
    <w:rsid w:val="002b357f"/>
    <w:rPr>
      <w:color w:val="0563C1" w:themeColor="hyperlink"/>
      <w:u w:val="single"/>
    </w:rPr>
  </w:style>
  <w:style w:type="character" w:styleId="Annotationreference">
    <w:name w:val="annotation reference"/>
    <w:basedOn w:val="DefaultParagraphFont"/>
    <w:uiPriority w:val="99"/>
    <w:semiHidden/>
    <w:unhideWhenUsed/>
    <w:qFormat/>
    <w:rsid w:val="007f2d2e"/>
    <w:rPr>
      <w:sz w:val="16"/>
      <w:szCs w:val="16"/>
    </w:rPr>
  </w:style>
  <w:style w:type="character" w:styleId="JegyzetszvegChar" w:customStyle="1">
    <w:name w:val="Jegyzetszöveg Char"/>
    <w:basedOn w:val="DefaultParagraphFont"/>
    <w:link w:val="Jegyzetszveg"/>
    <w:uiPriority w:val="99"/>
    <w:semiHidden/>
    <w:qFormat/>
    <w:rsid w:val="007f2d2e"/>
    <w:rPr>
      <w:sz w:val="20"/>
      <w:szCs w:val="20"/>
    </w:rPr>
  </w:style>
  <w:style w:type="character" w:styleId="BuborkszvegChar" w:customStyle="1">
    <w:name w:val="Buborékszöveg Char"/>
    <w:basedOn w:val="DefaultParagraphFont"/>
    <w:link w:val="Buborkszveg"/>
    <w:uiPriority w:val="99"/>
    <w:semiHidden/>
    <w:qFormat/>
    <w:rsid w:val="007f2d2e"/>
    <w:rPr>
      <w:rFonts w:ascii="Segoe UI" w:hAnsi="Segoe UI" w:cs="Segoe UI"/>
      <w:sz w:val="18"/>
      <w:szCs w:val="18"/>
    </w:rPr>
  </w:style>
  <w:style w:type="character" w:styleId="MegjegyzstrgyaChar" w:customStyle="1">
    <w:name w:val="Megjegyzés tárgya Char"/>
    <w:basedOn w:val="JegyzetszvegChar"/>
    <w:link w:val="Megjegyzstrgya"/>
    <w:uiPriority w:val="99"/>
    <w:semiHidden/>
    <w:qFormat/>
    <w:rsid w:val="00c20d59"/>
    <w:rPr>
      <w:b/>
      <w:bCs/>
      <w:sz w:val="20"/>
      <w:szCs w:val="20"/>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b/>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7d185f"/>
    <w:pPr>
      <w:spacing w:before="0" w:after="160"/>
      <w:ind w:left="720" w:hanging="0"/>
      <w:contextualSpacing/>
    </w:pPr>
    <w:rPr/>
  </w:style>
  <w:style w:type="paragraph" w:styleId="Header">
    <w:name w:val="Header"/>
    <w:basedOn w:val="Normal"/>
    <w:link w:val="lfejChar"/>
    <w:uiPriority w:val="99"/>
    <w:unhideWhenUsed/>
    <w:rsid w:val="00cb52ad"/>
    <w:pPr>
      <w:tabs>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cb52ad"/>
    <w:pPr>
      <w:tabs>
        <w:tab w:val="center" w:pos="4536" w:leader="none"/>
        <w:tab w:val="right" w:pos="9072" w:leader="none"/>
      </w:tabs>
      <w:spacing w:lineRule="auto" w:line="240" w:before="0" w:after="0"/>
    </w:pPr>
    <w:rPr/>
  </w:style>
  <w:style w:type="paragraph" w:styleId="NoSpacing">
    <w:name w:val="No Spacing"/>
    <w:link w:val="NincstrkzChar"/>
    <w:uiPriority w:val="1"/>
    <w:qFormat/>
    <w:rsid w:val="00603238"/>
    <w:pPr>
      <w:widowControl/>
      <w:bidi w:val="0"/>
      <w:spacing w:lineRule="auto" w:line="240" w:before="0" w:after="0"/>
      <w:jc w:val="left"/>
    </w:pPr>
    <w:rPr>
      <w:rFonts w:eastAsia="" w:eastAsiaTheme="minorEastAsia" w:ascii="Calibri" w:hAnsi="Calibri" w:cs=""/>
      <w:color w:val="auto"/>
      <w:kern w:val="0"/>
      <w:sz w:val="22"/>
      <w:szCs w:val="22"/>
      <w:lang w:eastAsia="hu-HU" w:val="hu-HU" w:bidi="ar-SA"/>
    </w:rPr>
  </w:style>
  <w:style w:type="paragraph" w:styleId="TOCHeading">
    <w:name w:val="TOC Heading"/>
    <w:basedOn w:val="Heading1"/>
    <w:uiPriority w:val="39"/>
    <w:unhideWhenUsed/>
    <w:qFormat/>
    <w:rsid w:val="002b357f"/>
    <w:pPr/>
    <w:rPr>
      <w:lang w:eastAsia="hu-HU"/>
    </w:rPr>
  </w:style>
  <w:style w:type="paragraph" w:styleId="Contents1">
    <w:name w:val="TOC 1"/>
    <w:basedOn w:val="Normal"/>
    <w:autoRedefine/>
    <w:uiPriority w:val="39"/>
    <w:unhideWhenUsed/>
    <w:rsid w:val="002b357f"/>
    <w:pPr>
      <w:spacing w:before="0" w:after="100"/>
    </w:pPr>
    <w:rPr/>
  </w:style>
  <w:style w:type="paragraph" w:styleId="Contents2">
    <w:name w:val="TOC 2"/>
    <w:basedOn w:val="Normal"/>
    <w:autoRedefine/>
    <w:uiPriority w:val="39"/>
    <w:unhideWhenUsed/>
    <w:rsid w:val="002b357f"/>
    <w:pPr>
      <w:spacing w:before="0" w:after="100"/>
      <w:ind w:left="220" w:hanging="0"/>
    </w:pPr>
    <w:rPr/>
  </w:style>
  <w:style w:type="paragraph" w:styleId="Contents3">
    <w:name w:val="TOC 3"/>
    <w:basedOn w:val="Normal"/>
    <w:autoRedefine/>
    <w:uiPriority w:val="39"/>
    <w:unhideWhenUsed/>
    <w:rsid w:val="002b357f"/>
    <w:pPr>
      <w:spacing w:before="0" w:after="100"/>
      <w:ind w:left="440" w:hanging="0"/>
    </w:pPr>
    <w:rPr/>
  </w:style>
  <w:style w:type="paragraph" w:styleId="Annotationtext">
    <w:name w:val="annotation text"/>
    <w:basedOn w:val="Normal"/>
    <w:link w:val="JegyzetszvegChar"/>
    <w:uiPriority w:val="99"/>
    <w:semiHidden/>
    <w:unhideWhenUsed/>
    <w:qFormat/>
    <w:rsid w:val="007f2d2e"/>
    <w:pPr>
      <w:spacing w:lineRule="auto" w:line="240"/>
    </w:pPr>
    <w:rPr>
      <w:sz w:val="20"/>
      <w:szCs w:val="20"/>
    </w:rPr>
  </w:style>
  <w:style w:type="paragraph" w:styleId="BalloonText">
    <w:name w:val="Balloon Text"/>
    <w:basedOn w:val="Normal"/>
    <w:link w:val="BuborkszvegChar"/>
    <w:uiPriority w:val="99"/>
    <w:semiHidden/>
    <w:unhideWhenUsed/>
    <w:qFormat/>
    <w:rsid w:val="007f2d2e"/>
    <w:pPr>
      <w:spacing w:lineRule="auto" w:line="240" w:before="0" w:after="0"/>
    </w:pPr>
    <w:rPr>
      <w:rFonts w:ascii="Segoe UI" w:hAnsi="Segoe UI" w:cs="Segoe UI"/>
      <w:sz w:val="18"/>
      <w:szCs w:val="18"/>
    </w:rPr>
  </w:style>
  <w:style w:type="paragraph" w:styleId="Annotationsubject">
    <w:name w:val="annotation subject"/>
    <w:basedOn w:val="Annotationtext"/>
    <w:link w:val="MegjegyzstrgyaChar"/>
    <w:uiPriority w:val="99"/>
    <w:semiHidden/>
    <w:unhideWhenUsed/>
    <w:qFormat/>
    <w:rsid w:val="00c20d59"/>
    <w:pPr/>
    <w:rPr>
      <w:b/>
      <w:bC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337a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chart" Target="charts/chart6.xml"/><Relationship Id="rId9" Type="http://schemas.openxmlformats.org/officeDocument/2006/relationships/chart" Target="charts/chart7.xml"/><Relationship Id="rId10" Type="http://schemas.openxmlformats.org/officeDocument/2006/relationships/chart" Target="charts/chart8.xml"/><Relationship Id="rId11" Type="http://schemas.openxmlformats.org/officeDocument/2006/relationships/chart" Target="charts/chart9.xml"/><Relationship Id="rId12" Type="http://schemas.openxmlformats.org/officeDocument/2006/relationships/chart" Target="charts/chart10.xml"/><Relationship Id="rId13" Type="http://schemas.openxmlformats.org/officeDocument/2006/relationships/chart" Target="charts/chart11.xml"/><Relationship Id="rId14" Type="http://schemas.openxmlformats.org/officeDocument/2006/relationships/chart" Target="charts/chart12.xml"/><Relationship Id="rId15" Type="http://schemas.openxmlformats.org/officeDocument/2006/relationships/chart" Target="charts/chart13.xml"/><Relationship Id="rId16" Type="http://schemas.openxmlformats.org/officeDocument/2006/relationships/chart" Target="charts/chart14.xml"/><Relationship Id="rId17" Type="http://schemas.openxmlformats.org/officeDocument/2006/relationships/chart" Target="charts/chart15.xml"/><Relationship Id="rId18" Type="http://schemas.openxmlformats.org/officeDocument/2006/relationships/chart" Target="charts/chart16.xml"/><Relationship Id="rId19" Type="http://schemas.openxmlformats.org/officeDocument/2006/relationships/chart" Target="charts/chart17.xml"/><Relationship Id="rId20" Type="http://schemas.openxmlformats.org/officeDocument/2006/relationships/chart" Target="charts/chart18.xml"/><Relationship Id="rId21" Type="http://schemas.openxmlformats.org/officeDocument/2006/relationships/chart" Target="charts/chart19.xml"/><Relationship Id="rId22" Type="http://schemas.openxmlformats.org/officeDocument/2006/relationships/chart" Target="charts/chart20.xml"/><Relationship Id="rId23" Type="http://schemas.openxmlformats.org/officeDocument/2006/relationships/chart" Target="charts/chart21.xml"/><Relationship Id="rId24" Type="http://schemas.openxmlformats.org/officeDocument/2006/relationships/chart" Target="charts/chart22.xml"/><Relationship Id="rId25" Type="http://schemas.openxmlformats.org/officeDocument/2006/relationships/chart" Target="charts/chart23.xml"/><Relationship Id="rId26" Type="http://schemas.openxmlformats.org/officeDocument/2006/relationships/chart" Target="charts/chart24.xml"/><Relationship Id="rId27" Type="http://schemas.openxmlformats.org/officeDocument/2006/relationships/chart" Target="charts/chart25.xml"/><Relationship Id="rId28" Type="http://schemas.openxmlformats.org/officeDocument/2006/relationships/chart" Target="charts/chart26.xml"/><Relationship Id="rId29" Type="http://schemas.openxmlformats.org/officeDocument/2006/relationships/chart" Target="charts/chart27.xml"/><Relationship Id="rId30" Type="http://schemas.openxmlformats.org/officeDocument/2006/relationships/chart" Target="charts/chart28.xml"/><Relationship Id="rId31" Type="http://schemas.openxmlformats.org/officeDocument/2006/relationships/chart" Target="charts/chart29.xml"/><Relationship Id="rId32" Type="http://schemas.openxmlformats.org/officeDocument/2006/relationships/chart" Target="charts/chart30.xml"/><Relationship Id="rId33" Type="http://schemas.openxmlformats.org/officeDocument/2006/relationships/chart" Target="charts/chart31.xml"/><Relationship Id="rId34" Type="http://schemas.openxmlformats.org/officeDocument/2006/relationships/chart" Target="charts/chart32.xml"/><Relationship Id="rId35" Type="http://schemas.openxmlformats.org/officeDocument/2006/relationships/chart" Target="charts/chart33.xml"/><Relationship Id="rId36" Type="http://schemas.openxmlformats.org/officeDocument/2006/relationships/chart" Target="charts/chart34.xml"/><Relationship Id="rId37" Type="http://schemas.openxmlformats.org/officeDocument/2006/relationships/chart" Target="charts/chart35.xml"/><Relationship Id="rId38" Type="http://schemas.openxmlformats.org/officeDocument/2006/relationships/chart" Target="charts/chart36.xml"/><Relationship Id="rId39" Type="http://schemas.openxmlformats.org/officeDocument/2006/relationships/chart" Target="charts/chart37.xm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Relationship Id="rId47"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AVK jelentkezőinek összesített adatai
(2015-2018)</a:t>
            </a:r>
          </a:p>
        </c:rich>
      </c:tx>
      <c:overlay val="0"/>
      <c:spPr>
        <a:noFill/>
        <a:ln>
          <a:noFill/>
        </a:ln>
      </c:spPr>
    </c:title>
    <c:autoTitleDeleted val="0"/>
    <c:plotArea>
      <c:barChart>
        <c:barDir val="bar"/>
        <c:grouping val="clustered"/>
        <c:varyColors val="0"/>
        <c:ser>
          <c:idx val="0"/>
          <c:order val="0"/>
          <c:tx>
            <c:strRef>
              <c:f>label 0</c:f>
              <c:strCache>
                <c:ptCount val="1"/>
                <c:pt idx="0">
                  <c:v>2015</c:v>
                </c:pt>
              </c:strCache>
            </c:strRef>
          </c:tx>
          <c:spPr>
            <a:solidFill>
              <a:srgbClr val="5b9bd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0</c:f>
              <c:numCache>
                <c:formatCode>General</c:formatCode>
                <c:ptCount val="3"/>
                <c:pt idx="0">
                  <c:v>686</c:v>
                </c:pt>
                <c:pt idx="1">
                  <c:v>160</c:v>
                </c:pt>
                <c:pt idx="2">
                  <c:v>90</c:v>
                </c:pt>
              </c:numCache>
            </c:numRef>
          </c:val>
        </c:ser>
        <c:ser>
          <c:idx val="1"/>
          <c:order val="1"/>
          <c:tx>
            <c:strRef>
              <c:f>label 1</c:f>
              <c:strCache>
                <c:ptCount val="1"/>
                <c:pt idx="0">
                  <c:v>2016</c:v>
                </c:pt>
              </c:strCache>
            </c:strRef>
          </c:tx>
          <c:spPr>
            <a:solidFill>
              <a:srgbClr val="ed7d31"/>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1</c:f>
              <c:numCache>
                <c:formatCode>General</c:formatCode>
                <c:ptCount val="3"/>
                <c:pt idx="0">
                  <c:v>805</c:v>
                </c:pt>
                <c:pt idx="1">
                  <c:v>209</c:v>
                </c:pt>
                <c:pt idx="2">
                  <c:v>140</c:v>
                </c:pt>
              </c:numCache>
            </c:numRef>
          </c:val>
        </c:ser>
        <c:ser>
          <c:idx val="2"/>
          <c:order val="2"/>
          <c:tx>
            <c:strRef>
              <c:f>label 2</c:f>
              <c:strCache>
                <c:ptCount val="1"/>
                <c:pt idx="0">
                  <c:v>2017</c:v>
                </c:pt>
              </c:strCache>
            </c:strRef>
          </c:tx>
          <c:spPr>
            <a:solidFill>
              <a:srgbClr val="a5a5a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2</c:f>
              <c:numCache>
                <c:formatCode>General</c:formatCode>
                <c:ptCount val="3"/>
                <c:pt idx="0">
                  <c:v>636</c:v>
                </c:pt>
                <c:pt idx="1">
                  <c:v>180</c:v>
                </c:pt>
                <c:pt idx="2">
                  <c:v>109</c:v>
                </c:pt>
              </c:numCache>
            </c:numRef>
          </c:val>
        </c:ser>
        <c:ser>
          <c:idx val="3"/>
          <c:order val="3"/>
          <c:tx>
            <c:strRef>
              <c:f>label 3</c:f>
              <c:strCache>
                <c:ptCount val="1"/>
                <c:pt idx="0">
                  <c:v>2018</c:v>
                </c:pt>
              </c:strCache>
            </c:strRef>
          </c:tx>
          <c:spPr>
            <a:solidFill>
              <a:srgbClr val="ffc000"/>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3</c:f>
              <c:numCache>
                <c:formatCode>General</c:formatCode>
                <c:ptCount val="3"/>
                <c:pt idx="0">
                  <c:v>634</c:v>
                </c:pt>
                <c:pt idx="1">
                  <c:v>167</c:v>
                </c:pt>
                <c:pt idx="2">
                  <c:v>134</c:v>
                </c:pt>
              </c:numCache>
            </c:numRef>
          </c:val>
        </c:ser>
        <c:gapWidth val="182"/>
        <c:overlap val="0"/>
        <c:axId val="10593736"/>
        <c:axId val="63927146"/>
      </c:barChart>
      <c:catAx>
        <c:axId val="10593736"/>
        <c:scaling>
          <c:orientation val="minMax"/>
        </c:scaling>
        <c:delete val="0"/>
        <c:axPos val="b"/>
        <c:numFmt formatCode="MM/DD/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63927146"/>
        <c:crosses val="autoZero"/>
        <c:auto val="1"/>
        <c:lblAlgn val="ctr"/>
        <c:lblOffset val="100"/>
      </c:catAx>
      <c:valAx>
        <c:axId val="63927146"/>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10593736"/>
        <c:crosses val="autoZero"/>
      </c:valAx>
      <c:spPr>
        <a:noFill/>
        <a:ln>
          <a:noFill/>
        </a:ln>
      </c:spPr>
    </c:plotArea>
    <c:legend>
      <c:layout>
        <c:manualLayout>
          <c:xMode val="edge"/>
          <c:yMode val="edge"/>
          <c:x val="0.2374375"/>
          <c:y val="0.894"/>
          <c:w val="0.672229514344646"/>
          <c:h val="0.0781197910878987"/>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GTK-ra jelentkezők tagozatválasztása (2015-2018)</a:t>
            </a:r>
          </a:p>
        </c:rich>
      </c:tx>
      <c:overlay val="0"/>
      <c:spPr>
        <a:noFill/>
        <a:ln>
          <a:noFill/>
        </a:ln>
      </c:spPr>
    </c:title>
    <c:autoTitleDeleted val="0"/>
    <c:plotArea>
      <c:barChart>
        <c:barDir val="col"/>
        <c:grouping val="percentStacked"/>
        <c:varyColors val="0"/>
        <c:ser>
          <c:idx val="0"/>
          <c:order val="0"/>
          <c:tx>
            <c:strRef>
              <c:f>label 0</c:f>
              <c:strCache>
                <c:ptCount val="1"/>
                <c:pt idx="0">
                  <c:v>nappali</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1456</c:v>
                </c:pt>
                <c:pt idx="1">
                  <c:v>330</c:v>
                </c:pt>
                <c:pt idx="2">
                  <c:v>243</c:v>
                </c:pt>
                <c:pt idx="3">
                  <c:v>1809</c:v>
                </c:pt>
                <c:pt idx="4">
                  <c:v>410</c:v>
                </c:pt>
                <c:pt idx="5">
                  <c:v>258</c:v>
                </c:pt>
                <c:pt idx="6">
                  <c:v>1544</c:v>
                </c:pt>
                <c:pt idx="7">
                  <c:v>366</c:v>
                </c:pt>
                <c:pt idx="8">
                  <c:v>263</c:v>
                </c:pt>
                <c:pt idx="9">
                  <c:v>1478</c:v>
                </c:pt>
                <c:pt idx="10">
                  <c:v>378</c:v>
                </c:pt>
                <c:pt idx="11">
                  <c:v>283</c:v>
                </c:pt>
              </c:numCache>
            </c:numRef>
          </c:val>
        </c:ser>
        <c:ser>
          <c:idx val="1"/>
          <c:order val="1"/>
          <c:tx>
            <c:strRef>
              <c:f>label 1</c:f>
              <c:strCache>
                <c:ptCount val="1"/>
                <c:pt idx="0">
                  <c:v>levelező</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1067</c:v>
                </c:pt>
                <c:pt idx="1">
                  <c:v>250</c:v>
                </c:pt>
                <c:pt idx="2">
                  <c:v>177</c:v>
                </c:pt>
                <c:pt idx="3">
                  <c:v>1429</c:v>
                </c:pt>
                <c:pt idx="4">
                  <c:v>366</c:v>
                </c:pt>
                <c:pt idx="5">
                  <c:v>253</c:v>
                </c:pt>
                <c:pt idx="6">
                  <c:v>1189</c:v>
                </c:pt>
                <c:pt idx="7">
                  <c:v>316</c:v>
                </c:pt>
                <c:pt idx="8">
                  <c:v>209</c:v>
                </c:pt>
                <c:pt idx="9">
                  <c:v>1169</c:v>
                </c:pt>
                <c:pt idx="10">
                  <c:v>321</c:v>
                </c:pt>
                <c:pt idx="11">
                  <c:v>241</c:v>
                </c:pt>
              </c:numCache>
            </c:numRef>
          </c:val>
        </c:ser>
        <c:gapWidth val="79"/>
        <c:overlap val="100"/>
        <c:axId val="54100711"/>
        <c:axId val="80855727"/>
      </c:barChart>
      <c:catAx>
        <c:axId val="54100711"/>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80855727"/>
        <c:crosses val="autoZero"/>
        <c:auto val="1"/>
        <c:lblAlgn val="ctr"/>
        <c:lblOffset val="100"/>
      </c:catAx>
      <c:valAx>
        <c:axId val="80855727"/>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4100711"/>
        <c:crosses val="autoZero"/>
      </c:valAx>
      <c:spPr>
        <a:noFill/>
        <a:ln>
          <a:noFill/>
        </a:ln>
      </c:spPr>
    </c:plotArea>
    <c:legend>
      <c:layout>
        <c:manualLayout>
          <c:xMode val="edge"/>
          <c:yMode val="edge"/>
          <c:x val="0.4065625"/>
          <c:y val="0.273"/>
          <c:w val="0.195262203887743"/>
          <c:h val="0.102233581509057"/>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800" spc="-1" strike="noStrike">
                <a:solidFill>
                  <a:srgbClr val="595959"/>
                </a:solidFill>
                <a:latin typeface="Calibri"/>
              </a:defRPr>
            </a:pPr>
            <a:r>
              <a:rPr b="0" sz="1800" spc="-1" strike="noStrike">
                <a:solidFill>
                  <a:srgbClr val="595959"/>
                </a:solidFill>
                <a:latin typeface="Calibri"/>
              </a:rPr>
              <a:t>A GTK képzési helyenkénti jelentkezési adatai (2015-2018)</a:t>
            </a:r>
          </a:p>
        </c:rich>
      </c:tx>
      <c:overlay val="0"/>
      <c:spPr>
        <a:noFill/>
        <a:ln>
          <a:noFill/>
        </a:ln>
      </c:spPr>
    </c:title>
    <c:autoTitleDeleted val="0"/>
    <c:plotArea>
      <c:barChart>
        <c:barDir val="bar"/>
        <c:grouping val="clustered"/>
        <c:varyColors val="0"/>
        <c:ser>
          <c:idx val="0"/>
          <c:order val="0"/>
          <c:tx>
            <c:strRef>
              <c:f>label 0</c:f>
              <c:strCache>
                <c:ptCount val="1"/>
                <c:pt idx="0">
                  <c:v>Eger</c:v>
                </c:pt>
              </c:strCache>
            </c:strRef>
          </c:tx>
          <c:spPr>
            <a:solidFill>
              <a:srgbClr val="5b9bd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1218</c:v>
                </c:pt>
                <c:pt idx="1">
                  <c:v>292</c:v>
                </c:pt>
                <c:pt idx="2">
                  <c:v>218</c:v>
                </c:pt>
                <c:pt idx="3">
                  <c:v>1692</c:v>
                </c:pt>
                <c:pt idx="4">
                  <c:v>403</c:v>
                </c:pt>
                <c:pt idx="5">
                  <c:v>260</c:v>
                </c:pt>
                <c:pt idx="6">
                  <c:v>1609</c:v>
                </c:pt>
                <c:pt idx="7">
                  <c:v>399</c:v>
                </c:pt>
                <c:pt idx="8">
                  <c:v>276</c:v>
                </c:pt>
                <c:pt idx="9">
                  <c:v>1451</c:v>
                </c:pt>
                <c:pt idx="10">
                  <c:v>402</c:v>
                </c:pt>
                <c:pt idx="11">
                  <c:v>311</c:v>
                </c:pt>
              </c:numCache>
            </c:numRef>
          </c:val>
        </c:ser>
        <c:ser>
          <c:idx val="1"/>
          <c:order val="1"/>
          <c:tx>
            <c:strRef>
              <c:f>label 1</c:f>
              <c:strCache>
                <c:ptCount val="1"/>
                <c:pt idx="0">
                  <c:v>Gyöngyös</c:v>
                </c:pt>
              </c:strCache>
            </c:strRef>
          </c:tx>
          <c:spPr>
            <a:solidFill>
              <a:srgbClr val="ed7d31"/>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1206</c:v>
                </c:pt>
                <c:pt idx="1">
                  <c:v>258</c:v>
                </c:pt>
                <c:pt idx="2">
                  <c:v>177</c:v>
                </c:pt>
                <c:pt idx="3">
                  <c:v>1430</c:v>
                </c:pt>
                <c:pt idx="4">
                  <c:v>341</c:v>
                </c:pt>
                <c:pt idx="5">
                  <c:v>228</c:v>
                </c:pt>
                <c:pt idx="6">
                  <c:v>1047</c:v>
                </c:pt>
                <c:pt idx="7">
                  <c:v>253</c:v>
                </c:pt>
                <c:pt idx="8">
                  <c:v>173</c:v>
                </c:pt>
                <c:pt idx="9">
                  <c:v>1112</c:v>
                </c:pt>
                <c:pt idx="10">
                  <c:v>268</c:v>
                </c:pt>
                <c:pt idx="11">
                  <c:v>208</c:v>
                </c:pt>
              </c:numCache>
            </c:numRef>
          </c:val>
        </c:ser>
        <c:ser>
          <c:idx val="2"/>
          <c:order val="2"/>
          <c:tx>
            <c:strRef>
              <c:f>label 2</c:f>
              <c:strCache>
                <c:ptCount val="1"/>
                <c:pt idx="0">
                  <c:v>Sárospatak</c:v>
                </c:pt>
              </c:strCache>
            </c:strRef>
          </c:tx>
          <c:spPr>
            <a:solidFill>
              <a:srgbClr val="a5a5a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49</c:v>
                </c:pt>
                <c:pt idx="1">
                  <c:v>16</c:v>
                </c:pt>
                <c:pt idx="2">
                  <c:v>18</c:v>
                </c:pt>
                <c:pt idx="3">
                  <c:v>44</c:v>
                </c:pt>
                <c:pt idx="4">
                  <c:v>13</c:v>
                </c:pt>
                <c:pt idx="5">
                  <c:v>15</c:v>
                </c:pt>
                <c:pt idx="6">
                  <c:v>34</c:v>
                </c:pt>
                <c:pt idx="7">
                  <c:v>16</c:v>
                </c:pt>
                <c:pt idx="8">
                  <c:v>18</c:v>
                </c:pt>
                <c:pt idx="9">
                  <c:v>25</c:v>
                </c:pt>
                <c:pt idx="10">
                  <c:v>8</c:v>
                </c:pt>
                <c:pt idx="11">
                  <c:v>5</c:v>
                </c:pt>
              </c:numCache>
            </c:numRef>
          </c:val>
        </c:ser>
        <c:ser>
          <c:idx val="3"/>
          <c:order val="3"/>
          <c:tx>
            <c:strRef>
              <c:f>label 3</c:f>
              <c:strCache>
                <c:ptCount val="1"/>
                <c:pt idx="0">
                  <c:v>Jászberény</c:v>
                </c:pt>
              </c:strCache>
            </c:strRef>
          </c:tx>
          <c:spPr>
            <a:solidFill>
              <a:srgbClr val="ffc000"/>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50</c:v>
                </c:pt>
                <c:pt idx="1">
                  <c:v>14</c:v>
                </c:pt>
                <c:pt idx="2">
                  <c:v>7</c:v>
                </c:pt>
                <c:pt idx="3">
                  <c:v>72</c:v>
                </c:pt>
                <c:pt idx="4">
                  <c:v>19</c:v>
                </c:pt>
                <c:pt idx="5">
                  <c:v>8</c:v>
                </c:pt>
                <c:pt idx="6">
                  <c:v>43</c:v>
                </c:pt>
                <c:pt idx="7">
                  <c:v>14</c:v>
                </c:pt>
                <c:pt idx="8">
                  <c:v>5</c:v>
                </c:pt>
                <c:pt idx="9">
                  <c:v>59</c:v>
                </c:pt>
                <c:pt idx="10">
                  <c:v>21</c:v>
                </c:pt>
                <c:pt idx="11">
                  <c:v>0</c:v>
                </c:pt>
              </c:numCache>
            </c:numRef>
          </c:val>
        </c:ser>
        <c:gapWidth val="182"/>
        <c:overlap val="0"/>
        <c:axId val="87201289"/>
        <c:axId val="16262505"/>
      </c:barChart>
      <c:catAx>
        <c:axId val="87201289"/>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16262505"/>
        <c:crosses val="autoZero"/>
        <c:auto val="1"/>
        <c:lblAlgn val="ctr"/>
        <c:lblOffset val="100"/>
      </c:catAx>
      <c:valAx>
        <c:axId val="1626250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7201289"/>
        <c:crosses val="autoZero"/>
      </c:valAx>
      <c:spPr>
        <a:noFill/>
        <a:ln>
          <a:noFill/>
        </a:ln>
      </c:spPr>
    </c:plotArea>
    <c:legend>
      <c:layout>
        <c:manualLayout>
          <c:xMode val="edge"/>
          <c:yMode val="edge"/>
          <c:x val="0.284875"/>
          <c:y val="0.897666666666667"/>
          <c:w val="0.45209075567223"/>
          <c:h val="0.0421157906434048"/>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GTK-ra jelentkezett összes hallgató képzési területenkénti eloszlása
(2015-2018)</a:t>
            </a:r>
          </a:p>
        </c:rich>
      </c:tx>
      <c:overlay val="0"/>
      <c:spPr>
        <a:noFill/>
        <a:ln>
          <a:noFill/>
        </a:ln>
      </c:spPr>
    </c:title>
    <c:autoTitleDeleted val="0"/>
    <c:plotArea>
      <c:barChart>
        <c:barDir val="col"/>
        <c:grouping val="clustered"/>
        <c:varyColors val="0"/>
        <c:ser>
          <c:idx val="0"/>
          <c:order val="0"/>
          <c:tx>
            <c:strRef>
              <c:f>label 0</c:f>
              <c:strCache>
                <c:ptCount val="1"/>
                <c:pt idx="0">
                  <c:v>2015 össz</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Gazd</c:v>
                </c:pt>
                <c:pt idx="1">
                  <c:v>Társ</c:v>
                </c:pt>
                <c:pt idx="2">
                  <c:v>Ped</c:v>
                </c:pt>
                <c:pt idx="3">
                  <c:v>Info</c:v>
                </c:pt>
              </c:strCache>
            </c:strRef>
          </c:cat>
          <c:val>
            <c:numRef>
              <c:f>0</c:f>
              <c:numCache>
                <c:formatCode>General</c:formatCode>
                <c:ptCount val="4"/>
                <c:pt idx="0">
                  <c:v>1869</c:v>
                </c:pt>
                <c:pt idx="1">
                  <c:v>294</c:v>
                </c:pt>
                <c:pt idx="2">
                  <c:v>21</c:v>
                </c:pt>
                <c:pt idx="3">
                  <c:v>339</c:v>
                </c:pt>
              </c:numCache>
            </c:numRef>
          </c:val>
        </c:ser>
        <c:ser>
          <c:idx val="1"/>
          <c:order val="1"/>
          <c:tx>
            <c:strRef>
              <c:f>label 1</c:f>
              <c:strCache>
                <c:ptCount val="1"/>
                <c:pt idx="0">
                  <c:v>2016 össz</c:v>
                </c:pt>
              </c:strCache>
            </c:strRef>
          </c:tx>
          <c:spPr>
            <a:solidFill>
              <a:srgbClr val="ffc0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Gazd</c:v>
                </c:pt>
                <c:pt idx="1">
                  <c:v>Társ</c:v>
                </c:pt>
                <c:pt idx="2">
                  <c:v>Ped</c:v>
                </c:pt>
                <c:pt idx="3">
                  <c:v>Info</c:v>
                </c:pt>
              </c:strCache>
            </c:strRef>
          </c:cat>
          <c:val>
            <c:numRef>
              <c:f>1</c:f>
              <c:numCache>
                <c:formatCode>General</c:formatCode>
                <c:ptCount val="4"/>
                <c:pt idx="0">
                  <c:v>2446</c:v>
                </c:pt>
                <c:pt idx="1">
                  <c:v>366</c:v>
                </c:pt>
                <c:pt idx="2">
                  <c:v>18</c:v>
                </c:pt>
                <c:pt idx="3">
                  <c:v>408</c:v>
                </c:pt>
              </c:numCache>
            </c:numRef>
          </c:val>
        </c:ser>
        <c:ser>
          <c:idx val="2"/>
          <c:order val="2"/>
          <c:tx>
            <c:strRef>
              <c:f>label 2</c:f>
              <c:strCache>
                <c:ptCount val="1"/>
                <c:pt idx="0">
                  <c:v>2017 össz</c:v>
                </c:pt>
              </c:strCache>
            </c:strRef>
          </c:tx>
          <c:spPr>
            <a:solidFill>
              <a:srgbClr val="255e9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Gazd</c:v>
                </c:pt>
                <c:pt idx="1">
                  <c:v>Társ</c:v>
                </c:pt>
                <c:pt idx="2">
                  <c:v>Ped</c:v>
                </c:pt>
                <c:pt idx="3">
                  <c:v>Info</c:v>
                </c:pt>
              </c:strCache>
            </c:strRef>
          </c:cat>
          <c:val>
            <c:numRef>
              <c:f>2</c:f>
              <c:numCache>
                <c:formatCode>General</c:formatCode>
                <c:ptCount val="4"/>
                <c:pt idx="0">
                  <c:v>2053</c:v>
                </c:pt>
                <c:pt idx="1">
                  <c:v>314</c:v>
                </c:pt>
                <c:pt idx="2">
                  <c:v>16</c:v>
                </c:pt>
                <c:pt idx="3">
                  <c:v>350</c:v>
                </c:pt>
              </c:numCache>
            </c:numRef>
          </c:val>
        </c:ser>
        <c:ser>
          <c:idx val="3"/>
          <c:order val="3"/>
          <c:tx>
            <c:strRef>
              <c:f>label 3</c:f>
              <c:strCache>
                <c:ptCount val="1"/>
                <c:pt idx="0">
                  <c:v>2018 össz</c:v>
                </c:pt>
              </c:strCache>
            </c:strRef>
          </c:tx>
          <c:spPr>
            <a:solidFill>
              <a:srgbClr val="9973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Gazd</c:v>
                </c:pt>
                <c:pt idx="1">
                  <c:v>Társ</c:v>
                </c:pt>
                <c:pt idx="2">
                  <c:v>Ped</c:v>
                </c:pt>
                <c:pt idx="3">
                  <c:v>Info</c:v>
                </c:pt>
              </c:strCache>
            </c:strRef>
          </c:cat>
          <c:val>
            <c:numRef>
              <c:f>3</c:f>
              <c:numCache>
                <c:formatCode>General</c:formatCode>
                <c:ptCount val="4"/>
                <c:pt idx="0">
                  <c:v>1922</c:v>
                </c:pt>
                <c:pt idx="1">
                  <c:v>460</c:v>
                </c:pt>
                <c:pt idx="2">
                  <c:v>4</c:v>
                </c:pt>
                <c:pt idx="3">
                  <c:v>261</c:v>
                </c:pt>
              </c:numCache>
            </c:numRef>
          </c:val>
        </c:ser>
        <c:gapWidth val="444"/>
        <c:overlap val="-90"/>
        <c:axId val="9843444"/>
        <c:axId val="86231840"/>
      </c:barChart>
      <c:catAx>
        <c:axId val="9843444"/>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86231840"/>
        <c:crosses val="autoZero"/>
        <c:auto val="1"/>
        <c:lblAlgn val="ctr"/>
        <c:lblOffset val="100"/>
      </c:catAx>
      <c:valAx>
        <c:axId val="86231840"/>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9843444"/>
        <c:crosses val="autoZero"/>
      </c:valAx>
      <c:spPr>
        <a:noFill/>
        <a:ln>
          <a:noFill/>
        </a:ln>
      </c:spPr>
    </c:plotArea>
    <c:legend>
      <c:layout>
        <c:manualLayout>
          <c:xMode val="edge"/>
          <c:yMode val="edge"/>
          <c:x val="0.2730625"/>
          <c:y val="0.916777777777778"/>
          <c:w val="0.466654165885368"/>
          <c:h val="0.0831203467051895"/>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A PK jelentkezőinek összesített adatai (2015-2018)</a:t>
            </a:r>
          </a:p>
        </c:rich>
      </c:tx>
      <c:overlay val="0"/>
      <c:spPr>
        <a:noFill/>
        <a:ln>
          <a:noFill/>
        </a:ln>
      </c:spPr>
    </c:title>
    <c:autoTitleDeleted val="0"/>
    <c:plotArea>
      <c:barChart>
        <c:barDir val="bar"/>
        <c:grouping val="clustered"/>
        <c:varyColors val="0"/>
        <c:ser>
          <c:idx val="0"/>
          <c:order val="0"/>
          <c:tx>
            <c:strRef>
              <c:f>label 0</c:f>
              <c:strCache>
                <c:ptCount val="1"/>
                <c:pt idx="0">
                  <c:v>2015</c:v>
                </c:pt>
              </c:strCache>
            </c:strRef>
          </c:tx>
          <c:spPr>
            <a:solidFill>
              <a:srgbClr val="5b9bd5">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0</c:f>
              <c:numCache>
                <c:formatCode>General</c:formatCode>
                <c:ptCount val="3"/>
                <c:pt idx="0">
                  <c:v>2295</c:v>
                </c:pt>
                <c:pt idx="1">
                  <c:v>705</c:v>
                </c:pt>
                <c:pt idx="2">
                  <c:v>325</c:v>
                </c:pt>
              </c:numCache>
            </c:numRef>
          </c:val>
        </c:ser>
        <c:ser>
          <c:idx val="1"/>
          <c:order val="1"/>
          <c:tx>
            <c:strRef>
              <c:f>label 1</c:f>
              <c:strCache>
                <c:ptCount val="1"/>
                <c:pt idx="0">
                  <c:v>2016</c:v>
                </c:pt>
              </c:strCache>
            </c:strRef>
          </c:tx>
          <c:spPr>
            <a:solidFill>
              <a:srgbClr val="ed7d31">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1</c:f>
              <c:numCache>
                <c:formatCode>General</c:formatCode>
                <c:ptCount val="3"/>
                <c:pt idx="0">
                  <c:v>3498</c:v>
                </c:pt>
                <c:pt idx="1">
                  <c:v>963</c:v>
                </c:pt>
                <c:pt idx="2">
                  <c:v>559</c:v>
                </c:pt>
              </c:numCache>
            </c:numRef>
          </c:val>
        </c:ser>
        <c:ser>
          <c:idx val="2"/>
          <c:order val="2"/>
          <c:tx>
            <c:strRef>
              <c:f>label 2</c:f>
              <c:strCache>
                <c:ptCount val="1"/>
                <c:pt idx="0">
                  <c:v>2017</c:v>
                </c:pt>
              </c:strCache>
            </c:strRef>
          </c:tx>
          <c:spPr>
            <a:solidFill>
              <a:srgbClr val="92d050"/>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2</c:f>
              <c:numCache>
                <c:formatCode>General</c:formatCode>
                <c:ptCount val="3"/>
                <c:pt idx="0">
                  <c:v>3264</c:v>
                </c:pt>
                <c:pt idx="1">
                  <c:v>1021</c:v>
                </c:pt>
                <c:pt idx="2">
                  <c:v>512</c:v>
                </c:pt>
              </c:numCache>
            </c:numRef>
          </c:val>
        </c:ser>
        <c:ser>
          <c:idx val="3"/>
          <c:order val="3"/>
          <c:tx>
            <c:strRef>
              <c:f>label 3</c:f>
              <c:strCache>
                <c:ptCount val="1"/>
                <c:pt idx="0">
                  <c:v>2018</c:v>
                </c:pt>
              </c:strCache>
            </c:strRef>
          </c:tx>
          <c:spPr>
            <a:solidFill>
              <a:srgbClr val="ffc000">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3</c:f>
              <c:numCache>
                <c:formatCode>General</c:formatCode>
                <c:ptCount val="3"/>
                <c:pt idx="0">
                  <c:v>3848</c:v>
                </c:pt>
                <c:pt idx="1">
                  <c:v>1257</c:v>
                </c:pt>
                <c:pt idx="2">
                  <c:v>659</c:v>
                </c:pt>
              </c:numCache>
            </c:numRef>
          </c:val>
        </c:ser>
        <c:gapWidth val="65"/>
        <c:overlap val="0"/>
        <c:axId val="19354229"/>
        <c:axId val="96230371"/>
      </c:barChart>
      <c:catAx>
        <c:axId val="19354229"/>
        <c:scaling>
          <c:orientation val="minMax"/>
        </c:scaling>
        <c:delete val="0"/>
        <c:axPos val="b"/>
        <c:numFmt formatCode="YYYY\-MM\-DD"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96230371"/>
        <c:crosses val="autoZero"/>
        <c:auto val="1"/>
        <c:lblAlgn val="ctr"/>
        <c:lblOffset val="100"/>
      </c:catAx>
      <c:valAx>
        <c:axId val="96230371"/>
        <c:scaling>
          <c:orientation val="minMax"/>
        </c:scaling>
        <c:delete val="0"/>
        <c:axPos val="l"/>
        <c:majorGridlines>
          <c:spPr>
            <a:ln w="9360">
              <a:solidFill>
                <a:srgbClr val="bfbfbf">
                  <a:alpha val="36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04040"/>
                </a:solidFill>
                <a:latin typeface="Calibri"/>
              </a:defRPr>
            </a:pPr>
          </a:p>
        </c:txPr>
        <c:crossAx val="19354229"/>
        <c:crosses val="autoZero"/>
      </c:valAx>
      <c:spPr>
        <a:noFill/>
        <a:ln>
          <a:noFill/>
        </a:ln>
      </c:spPr>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PK-ra jelentkezők  képzési szint választása 2015-2018</a:t>
            </a:r>
          </a:p>
        </c:rich>
      </c:tx>
      <c:overlay val="0"/>
      <c:spPr>
        <a:noFill/>
        <a:ln>
          <a:noFill/>
        </a:ln>
      </c:spPr>
    </c:title>
    <c:autoTitleDeleted val="0"/>
    <c:plotArea>
      <c:barChart>
        <c:barDir val="col"/>
        <c:grouping val="stacked"/>
        <c:varyColors val="0"/>
        <c:ser>
          <c:idx val="0"/>
          <c:order val="0"/>
          <c:tx>
            <c:strRef>
              <c:f>label 0</c:f>
              <c:strCache>
                <c:ptCount val="1"/>
                <c:pt idx="0">
                  <c:v>alap</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2120</c:v>
                </c:pt>
                <c:pt idx="1">
                  <c:v>660</c:v>
                </c:pt>
                <c:pt idx="2">
                  <c:v>288</c:v>
                </c:pt>
                <c:pt idx="3">
                  <c:v>3204</c:v>
                </c:pt>
                <c:pt idx="4">
                  <c:v>865</c:v>
                </c:pt>
                <c:pt idx="5">
                  <c:v>498</c:v>
                </c:pt>
                <c:pt idx="6">
                  <c:v>2873</c:v>
                </c:pt>
                <c:pt idx="7">
                  <c:v>891</c:v>
                </c:pt>
                <c:pt idx="8">
                  <c:v>434</c:v>
                </c:pt>
                <c:pt idx="9">
                  <c:v>3485</c:v>
                </c:pt>
                <c:pt idx="10">
                  <c:v>1119</c:v>
                </c:pt>
                <c:pt idx="11">
                  <c:v>592</c:v>
                </c:pt>
              </c:numCache>
            </c:numRef>
          </c:val>
        </c:ser>
        <c:ser>
          <c:idx val="1"/>
          <c:order val="1"/>
          <c:tx>
            <c:strRef>
              <c:f>label 1</c:f>
              <c:strCache>
                <c:ptCount val="1"/>
                <c:pt idx="0">
                  <c:v>mester</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63</c:v>
                </c:pt>
                <c:pt idx="1">
                  <c:v>20</c:v>
                </c:pt>
                <c:pt idx="2">
                  <c:v>20</c:v>
                </c:pt>
                <c:pt idx="3">
                  <c:v>81</c:v>
                </c:pt>
                <c:pt idx="4">
                  <c:v>33</c:v>
                </c:pt>
                <c:pt idx="5">
                  <c:v>19</c:v>
                </c:pt>
                <c:pt idx="6">
                  <c:v>83</c:v>
                </c:pt>
                <c:pt idx="7">
                  <c:v>29</c:v>
                </c:pt>
                <c:pt idx="8">
                  <c:v>18</c:v>
                </c:pt>
                <c:pt idx="9">
                  <c:v>86</c:v>
                </c:pt>
                <c:pt idx="10">
                  <c:v>36</c:v>
                </c:pt>
                <c:pt idx="11">
                  <c:v>20</c:v>
                </c:pt>
              </c:numCache>
            </c:numRef>
          </c:val>
        </c:ser>
        <c:ser>
          <c:idx val="2"/>
          <c:order val="2"/>
          <c:tx>
            <c:strRef>
              <c:f>label 2</c:f>
              <c:strCache>
                <c:ptCount val="1"/>
                <c:pt idx="0">
                  <c:v>osztatlan</c:v>
                </c:pt>
              </c:strCache>
            </c:strRef>
          </c:tx>
          <c:spPr>
            <a:solidFill>
              <a:srgbClr val="a5a5a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112</c:v>
                </c:pt>
                <c:pt idx="1">
                  <c:v>25</c:v>
                </c:pt>
                <c:pt idx="2">
                  <c:v>17</c:v>
                </c:pt>
                <c:pt idx="3">
                  <c:v>213</c:v>
                </c:pt>
                <c:pt idx="4">
                  <c:v>65</c:v>
                </c:pt>
                <c:pt idx="5">
                  <c:v>42</c:v>
                </c:pt>
                <c:pt idx="6">
                  <c:v>308</c:v>
                </c:pt>
                <c:pt idx="7">
                  <c:v>101</c:v>
                </c:pt>
                <c:pt idx="8">
                  <c:v>60</c:v>
                </c:pt>
                <c:pt idx="9">
                  <c:v>277</c:v>
                </c:pt>
                <c:pt idx="10">
                  <c:v>102</c:v>
                </c:pt>
                <c:pt idx="11">
                  <c:v>47</c:v>
                </c:pt>
              </c:numCache>
            </c:numRef>
          </c:val>
        </c:ser>
        <c:gapWidth val="79"/>
        <c:overlap val="100"/>
        <c:axId val="50768258"/>
        <c:axId val="21545474"/>
      </c:barChart>
      <c:catAx>
        <c:axId val="50768258"/>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700" spc="117" strike="noStrike">
                <a:solidFill>
                  <a:srgbClr val="595959"/>
                </a:solidFill>
                <a:latin typeface="Calibri"/>
              </a:defRPr>
            </a:pPr>
          </a:p>
        </c:txPr>
        <c:crossAx val="21545474"/>
        <c:crosses val="autoZero"/>
        <c:auto val="1"/>
        <c:lblAlgn val="ctr"/>
        <c:lblOffset val="100"/>
      </c:catAx>
      <c:valAx>
        <c:axId val="21545474"/>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0768258"/>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PK-ra jelentkezők tagozat választása 2015-2018</a:t>
            </a:r>
          </a:p>
        </c:rich>
      </c:tx>
      <c:overlay val="0"/>
      <c:spPr>
        <a:noFill/>
        <a:ln>
          <a:noFill/>
        </a:ln>
      </c:spPr>
    </c:title>
    <c:autoTitleDeleted val="0"/>
    <c:plotArea>
      <c:barChart>
        <c:barDir val="col"/>
        <c:grouping val="percentStacked"/>
        <c:varyColors val="0"/>
        <c:ser>
          <c:idx val="0"/>
          <c:order val="0"/>
          <c:spPr>
            <a:solidFill>
              <a:srgbClr val="5b9bd5"/>
            </a:solidFill>
            <a:ln>
              <a:noFill/>
            </a:ln>
          </c:spPr>
          <c:invertIfNegative val="0"/>
          <c:dLbls>
            <c:numFmt formatCode="0%"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1"/>
          <c:order val="1"/>
          <c:spPr>
            <a:solidFill>
              <a:srgbClr val="ed7d31"/>
            </a:solidFill>
            <a:ln>
              <a:noFill/>
            </a:ln>
          </c:spPr>
          <c:invertIfNegative val="0"/>
          <c:dLbls>
            <c:numFmt formatCode="0%"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2"/>
          <c:order val="2"/>
          <c:spPr>
            <a:solidFill>
              <a:srgbClr val="a5a5a5"/>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3"/>
          <c:order val="3"/>
          <c:spPr>
            <a:solidFill>
              <a:srgbClr val="ffc000"/>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4"/>
          <c:order val="4"/>
          <c:spPr>
            <a:solidFill>
              <a:srgbClr val="4472c4"/>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5"/>
          <c:order val="5"/>
          <c:spPr>
            <a:solidFill>
              <a:srgbClr val="70ad47"/>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6"/>
          <c:order val="6"/>
          <c:spPr>
            <a:solidFill>
              <a:srgbClr val="255e91"/>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7"/>
          <c:order val="7"/>
          <c:spPr>
            <a:solidFill>
              <a:srgbClr val="9e480e"/>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8"/>
          <c:order val="8"/>
          <c:spPr>
            <a:solidFill>
              <a:srgbClr val="636363"/>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9"/>
          <c:order val="9"/>
          <c:spPr>
            <a:solidFill>
              <a:srgbClr val="997300"/>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10"/>
          <c:order val="10"/>
          <c:spPr>
            <a:solidFill>
              <a:srgbClr val="264478"/>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11"/>
          <c:order val="11"/>
          <c:tx>
            <c:strRef>
              <c:f>label 0</c:f>
              <c:strCache>
                <c:ptCount val="1"/>
                <c:pt idx="0">
                  <c:v>nappali</c:v>
                </c:pt>
              </c:strCache>
            </c:strRef>
          </c:tx>
          <c:spPr>
            <a:solidFill>
              <a:srgbClr val="43682b"/>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1085</c:v>
                </c:pt>
                <c:pt idx="1">
                  <c:v>319</c:v>
                </c:pt>
                <c:pt idx="2">
                  <c:v>96</c:v>
                </c:pt>
                <c:pt idx="3">
                  <c:v>1410</c:v>
                </c:pt>
                <c:pt idx="4">
                  <c:v>384</c:v>
                </c:pt>
                <c:pt idx="5">
                  <c:v>188</c:v>
                </c:pt>
                <c:pt idx="6">
                  <c:v>1411</c:v>
                </c:pt>
                <c:pt idx="7">
                  <c:v>396</c:v>
                </c:pt>
                <c:pt idx="8">
                  <c:v>203</c:v>
                </c:pt>
                <c:pt idx="9">
                  <c:v>1452</c:v>
                </c:pt>
                <c:pt idx="10">
                  <c:v>412</c:v>
                </c:pt>
                <c:pt idx="11">
                  <c:v>234</c:v>
                </c:pt>
              </c:numCache>
            </c:numRef>
          </c:val>
        </c:ser>
        <c:ser>
          <c:idx val="12"/>
          <c:order val="12"/>
          <c:tx>
            <c:strRef>
              <c:f>label 1</c:f>
              <c:strCache>
                <c:ptCount val="1"/>
                <c:pt idx="0">
                  <c:v>levelező</c:v>
                </c:pt>
              </c:strCache>
            </c:strRef>
          </c:tx>
          <c:spPr>
            <a:solidFill>
              <a:srgbClr val="7cafdd"/>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1205</c:v>
                </c:pt>
                <c:pt idx="1">
                  <c:v>384</c:v>
                </c:pt>
                <c:pt idx="2">
                  <c:v>229</c:v>
                </c:pt>
                <c:pt idx="3">
                  <c:v>2077</c:v>
                </c:pt>
                <c:pt idx="4">
                  <c:v>578</c:v>
                </c:pt>
                <c:pt idx="5">
                  <c:v>371</c:v>
                </c:pt>
                <c:pt idx="6">
                  <c:v>1840</c:v>
                </c:pt>
                <c:pt idx="7">
                  <c:v>618</c:v>
                </c:pt>
                <c:pt idx="8">
                  <c:v>304</c:v>
                </c:pt>
                <c:pt idx="9">
                  <c:v>2387</c:v>
                </c:pt>
                <c:pt idx="10">
                  <c:v>842</c:v>
                </c:pt>
                <c:pt idx="11">
                  <c:v>425</c:v>
                </c:pt>
              </c:numCache>
            </c:numRef>
          </c:val>
        </c:ser>
        <c:gapWidth val="79"/>
        <c:overlap val="100"/>
        <c:axId val="48352564"/>
        <c:axId val="6313291"/>
      </c:barChart>
      <c:catAx>
        <c:axId val="48352564"/>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6313291"/>
        <c:crosses val="autoZero"/>
        <c:auto val="1"/>
        <c:lblAlgn val="ctr"/>
        <c:lblOffset val="100"/>
      </c:catAx>
      <c:valAx>
        <c:axId val="6313291"/>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48352564"/>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17" strike="noStrike">
                <a:solidFill>
                  <a:srgbClr val="595959"/>
                </a:solidFill>
                <a:latin typeface="Calibri"/>
              </a:defRPr>
            </a:pPr>
            <a:r>
              <a:rPr b="1" sz="1800" spc="117" strike="noStrike">
                <a:solidFill>
                  <a:srgbClr val="595959"/>
                </a:solidFill>
                <a:latin typeface="Calibri"/>
              </a:rPr>
              <a:t>A PK jelentkezőinek képzési hely szerinti választása (2015-2018)</a:t>
            </a:r>
          </a:p>
        </c:rich>
      </c:tx>
      <c:overlay val="0"/>
      <c:spPr>
        <a:noFill/>
        <a:ln>
          <a:noFill/>
        </a:ln>
      </c:spPr>
    </c:title>
    <c:autoTitleDeleted val="0"/>
    <c:plotArea>
      <c:barChart>
        <c:barDir val="col"/>
        <c:grouping val="percentStacked"/>
        <c:varyColors val="0"/>
        <c:ser>
          <c:idx val="0"/>
          <c:order val="0"/>
          <c:tx>
            <c:strRef>
              <c:f>label 0</c:f>
              <c:strCache>
                <c:ptCount val="1"/>
                <c:pt idx="0">
                  <c:v>Eger</c:v>
                </c:pt>
              </c:strCache>
            </c:strRef>
          </c:tx>
          <c:spPr>
            <a:solidFill>
              <a:srgbClr val="70ad47"/>
            </a:solidFill>
            <a:ln>
              <a:noFill/>
            </a:ln>
          </c:spPr>
          <c:invertIfNegative val="0"/>
          <c:dLbls>
            <c:numFmt formatCode="0"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1234</c:v>
                </c:pt>
                <c:pt idx="1">
                  <c:v>368</c:v>
                </c:pt>
                <c:pt idx="2">
                  <c:v>163</c:v>
                </c:pt>
                <c:pt idx="3">
                  <c:v>191</c:v>
                </c:pt>
                <c:pt idx="4">
                  <c:v>550</c:v>
                </c:pt>
                <c:pt idx="5">
                  <c:v>314</c:v>
                </c:pt>
                <c:pt idx="6">
                  <c:v>2002</c:v>
                </c:pt>
                <c:pt idx="7">
                  <c:v>648</c:v>
                </c:pt>
                <c:pt idx="8">
                  <c:v>340</c:v>
                </c:pt>
                <c:pt idx="9">
                  <c:v>2621</c:v>
                </c:pt>
                <c:pt idx="10">
                  <c:v>843</c:v>
                </c:pt>
                <c:pt idx="11">
                  <c:v>452</c:v>
                </c:pt>
              </c:numCache>
            </c:numRef>
          </c:val>
        </c:ser>
        <c:ser>
          <c:idx val="1"/>
          <c:order val="1"/>
          <c:tx>
            <c:strRef>
              <c:f>label 1</c:f>
              <c:strCache>
                <c:ptCount val="1"/>
                <c:pt idx="0">
                  <c:v>Jászberény</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609</c:v>
                </c:pt>
                <c:pt idx="1">
                  <c:v>179</c:v>
                </c:pt>
                <c:pt idx="2">
                  <c:v>90</c:v>
                </c:pt>
                <c:pt idx="3">
                  <c:v>1009</c:v>
                </c:pt>
                <c:pt idx="4">
                  <c:v>234</c:v>
                </c:pt>
                <c:pt idx="5">
                  <c:v>164</c:v>
                </c:pt>
                <c:pt idx="6">
                  <c:v>716</c:v>
                </c:pt>
                <c:pt idx="7">
                  <c:v>222</c:v>
                </c:pt>
                <c:pt idx="8">
                  <c:v>95</c:v>
                </c:pt>
                <c:pt idx="9">
                  <c:v>796</c:v>
                </c:pt>
                <c:pt idx="10">
                  <c:v>265</c:v>
                </c:pt>
                <c:pt idx="11">
                  <c:v>136</c:v>
                </c:pt>
              </c:numCache>
            </c:numRef>
          </c:val>
        </c:ser>
        <c:ser>
          <c:idx val="2"/>
          <c:order val="2"/>
          <c:tx>
            <c:strRef>
              <c:f>label 2</c:f>
              <c:strCache>
                <c:ptCount val="1"/>
                <c:pt idx="0">
                  <c:v>Sárospatak</c:v>
                </c:pt>
              </c:strCache>
            </c:strRef>
          </c:tx>
          <c:spPr>
            <a:solidFill>
              <a:srgbClr val="44546a"/>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452</c:v>
                </c:pt>
                <c:pt idx="1">
                  <c:v>158</c:v>
                </c:pt>
                <c:pt idx="2">
                  <c:v>72</c:v>
                </c:pt>
                <c:pt idx="3">
                  <c:v>579</c:v>
                </c:pt>
                <c:pt idx="4">
                  <c:v>179</c:v>
                </c:pt>
                <c:pt idx="5">
                  <c:v>81</c:v>
                </c:pt>
                <c:pt idx="6">
                  <c:v>546</c:v>
                </c:pt>
                <c:pt idx="7">
                  <c:v>151</c:v>
                </c:pt>
                <c:pt idx="8">
                  <c:v>77</c:v>
                </c:pt>
                <c:pt idx="9">
                  <c:v>431</c:v>
                </c:pt>
                <c:pt idx="10">
                  <c:v>149</c:v>
                </c:pt>
                <c:pt idx="11">
                  <c:v>71</c:v>
                </c:pt>
              </c:numCache>
            </c:numRef>
          </c:val>
        </c:ser>
        <c:gapWidth val="79"/>
        <c:overlap val="100"/>
        <c:axId val="36987621"/>
        <c:axId val="84863020"/>
      </c:barChart>
      <c:catAx>
        <c:axId val="36987621"/>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84863020"/>
        <c:crosses val="autoZero"/>
        <c:auto val="1"/>
        <c:lblAlgn val="ctr"/>
        <c:lblOffset val="100"/>
      </c:catAx>
      <c:valAx>
        <c:axId val="84863020"/>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36987621"/>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PK-ra jelentkezett összes hallgató képzési területenkénti eloszlása</a:t>
            </a:r>
          </a:p>
        </c:rich>
      </c:tx>
      <c:overlay val="0"/>
      <c:spPr>
        <a:noFill/>
        <a:ln>
          <a:noFill/>
        </a:ln>
      </c:spPr>
    </c:title>
    <c:autoTitleDeleted val="0"/>
    <c:plotArea>
      <c:barChart>
        <c:barDir val="col"/>
        <c:grouping val="clustered"/>
        <c:varyColors val="0"/>
        <c:ser>
          <c:idx val="0"/>
          <c:order val="0"/>
          <c:tx>
            <c:strRef>
              <c:f>label 0</c:f>
              <c:strCache>
                <c:ptCount val="1"/>
                <c:pt idx="0">
                  <c:v>2015 össz</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3"/>
                <c:pt idx="0">
                  <c:v>Bölcs</c:v>
                </c:pt>
                <c:pt idx="1">
                  <c:v>Társ</c:v>
                </c:pt>
                <c:pt idx="2">
                  <c:v>Ped</c:v>
                </c:pt>
              </c:strCache>
            </c:strRef>
          </c:cat>
          <c:val>
            <c:numRef>
              <c:f>0</c:f>
              <c:numCache>
                <c:formatCode>General</c:formatCode>
                <c:ptCount val="3"/>
                <c:pt idx="0">
                  <c:v>104</c:v>
                </c:pt>
                <c:pt idx="1">
                  <c:v>133</c:v>
                </c:pt>
                <c:pt idx="2">
                  <c:v>2058</c:v>
                </c:pt>
              </c:numCache>
            </c:numRef>
          </c:val>
        </c:ser>
        <c:ser>
          <c:idx val="1"/>
          <c:order val="1"/>
          <c:tx>
            <c:strRef>
              <c:f>label 1</c:f>
              <c:strCache>
                <c:ptCount val="1"/>
                <c:pt idx="0">
                  <c:v>2016 össz</c:v>
                </c:pt>
              </c:strCache>
            </c:strRef>
          </c:tx>
          <c:spPr>
            <a:solidFill>
              <a:srgbClr val="ffc0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3"/>
                <c:pt idx="0">
                  <c:v>Bölcs</c:v>
                </c:pt>
                <c:pt idx="1">
                  <c:v>Társ</c:v>
                </c:pt>
                <c:pt idx="2">
                  <c:v>Ped</c:v>
                </c:pt>
              </c:strCache>
            </c:strRef>
          </c:cat>
          <c:val>
            <c:numRef>
              <c:f>1</c:f>
              <c:numCache>
                <c:formatCode>General</c:formatCode>
                <c:ptCount val="3"/>
                <c:pt idx="0">
                  <c:v>126</c:v>
                </c:pt>
                <c:pt idx="1">
                  <c:v>161</c:v>
                </c:pt>
                <c:pt idx="2">
                  <c:v>3211</c:v>
                </c:pt>
              </c:numCache>
            </c:numRef>
          </c:val>
        </c:ser>
        <c:ser>
          <c:idx val="2"/>
          <c:order val="2"/>
          <c:tx>
            <c:strRef>
              <c:f>label 2</c:f>
              <c:strCache>
                <c:ptCount val="1"/>
                <c:pt idx="0">
                  <c:v>2017 össz</c:v>
                </c:pt>
              </c:strCache>
            </c:strRef>
          </c:tx>
          <c:spPr>
            <a:solidFill>
              <a:srgbClr val="255e9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3"/>
                <c:pt idx="0">
                  <c:v>Bölcs</c:v>
                </c:pt>
                <c:pt idx="1">
                  <c:v>Társ</c:v>
                </c:pt>
                <c:pt idx="2">
                  <c:v>Ped</c:v>
                </c:pt>
              </c:strCache>
            </c:strRef>
          </c:cat>
          <c:val>
            <c:numRef>
              <c:f>2</c:f>
              <c:numCache>
                <c:formatCode>General</c:formatCode>
                <c:ptCount val="3"/>
                <c:pt idx="0">
                  <c:v>136</c:v>
                </c:pt>
                <c:pt idx="1">
                  <c:v>308</c:v>
                </c:pt>
                <c:pt idx="2">
                  <c:v>2820</c:v>
                </c:pt>
              </c:numCache>
            </c:numRef>
          </c:val>
        </c:ser>
        <c:ser>
          <c:idx val="3"/>
          <c:order val="3"/>
          <c:tx>
            <c:strRef>
              <c:f>label 3</c:f>
              <c:strCache>
                <c:ptCount val="1"/>
                <c:pt idx="0">
                  <c:v>2018 össz</c:v>
                </c:pt>
              </c:strCache>
            </c:strRef>
          </c:tx>
          <c:spPr>
            <a:solidFill>
              <a:srgbClr val="9973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3"/>
                <c:pt idx="0">
                  <c:v>Bölcs</c:v>
                </c:pt>
                <c:pt idx="1">
                  <c:v>Társ</c:v>
                </c:pt>
                <c:pt idx="2">
                  <c:v>Ped</c:v>
                </c:pt>
              </c:strCache>
            </c:strRef>
          </c:cat>
          <c:val>
            <c:numRef>
              <c:f>3</c:f>
              <c:numCache>
                <c:formatCode>General</c:formatCode>
                <c:ptCount val="3"/>
                <c:pt idx="0">
                  <c:v>166</c:v>
                </c:pt>
                <c:pt idx="1">
                  <c:v>306</c:v>
                </c:pt>
                <c:pt idx="2">
                  <c:v>3376</c:v>
                </c:pt>
              </c:numCache>
            </c:numRef>
          </c:val>
        </c:ser>
        <c:gapWidth val="444"/>
        <c:overlap val="-90"/>
        <c:axId val="7925913"/>
        <c:axId val="48100946"/>
      </c:barChart>
      <c:catAx>
        <c:axId val="7925913"/>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48100946"/>
        <c:crosses val="autoZero"/>
        <c:auto val="1"/>
        <c:lblAlgn val="ctr"/>
        <c:lblOffset val="100"/>
      </c:catAx>
      <c:valAx>
        <c:axId val="48100946"/>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7925913"/>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A TTK jelentkezőinek összesített adatai
(2015-2018)</a:t>
            </a:r>
          </a:p>
        </c:rich>
      </c:tx>
      <c:overlay val="0"/>
      <c:spPr>
        <a:noFill/>
        <a:ln>
          <a:noFill/>
        </a:ln>
      </c:spPr>
    </c:title>
    <c:autoTitleDeleted val="0"/>
    <c:plotArea>
      <c:barChart>
        <c:barDir val="bar"/>
        <c:grouping val="clustered"/>
        <c:varyColors val="0"/>
        <c:ser>
          <c:idx val="0"/>
          <c:order val="0"/>
          <c:tx>
            <c:strRef>
              <c:f>label 0</c:f>
              <c:strCache>
                <c:ptCount val="1"/>
                <c:pt idx="0">
                  <c:v>2015</c:v>
                </c:pt>
              </c:strCache>
            </c:strRef>
          </c:tx>
          <c:spPr>
            <a:solidFill>
              <a:srgbClr val="5b9bd5">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0</c:f>
              <c:numCache>
                <c:formatCode>General</c:formatCode>
                <c:ptCount val="3"/>
                <c:pt idx="0">
                  <c:v>2409</c:v>
                </c:pt>
                <c:pt idx="1">
                  <c:v>616</c:v>
                </c:pt>
                <c:pt idx="2">
                  <c:v>490</c:v>
                </c:pt>
              </c:numCache>
            </c:numRef>
          </c:val>
        </c:ser>
        <c:ser>
          <c:idx val="1"/>
          <c:order val="1"/>
          <c:tx>
            <c:strRef>
              <c:f>label 1</c:f>
              <c:strCache>
                <c:ptCount val="1"/>
                <c:pt idx="0">
                  <c:v>2016</c:v>
                </c:pt>
              </c:strCache>
            </c:strRef>
          </c:tx>
          <c:spPr>
            <a:solidFill>
              <a:srgbClr val="385623"/>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1</c:f>
              <c:numCache>
                <c:formatCode>General</c:formatCode>
                <c:ptCount val="3"/>
                <c:pt idx="0">
                  <c:v>2928</c:v>
                </c:pt>
                <c:pt idx="1">
                  <c:v>795</c:v>
                </c:pt>
                <c:pt idx="2">
                  <c:v>613</c:v>
                </c:pt>
              </c:numCache>
            </c:numRef>
          </c:val>
        </c:ser>
        <c:ser>
          <c:idx val="2"/>
          <c:order val="2"/>
          <c:tx>
            <c:strRef>
              <c:f>label 2</c:f>
              <c:strCache>
                <c:ptCount val="1"/>
                <c:pt idx="0">
                  <c:v>2017</c:v>
                </c:pt>
              </c:strCache>
            </c:strRef>
          </c:tx>
          <c:spPr>
            <a:solidFill>
              <a:srgbClr val="a5a5a5">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2</c:f>
              <c:numCache>
                <c:formatCode>General</c:formatCode>
                <c:ptCount val="3"/>
                <c:pt idx="0">
                  <c:v>2911</c:v>
                </c:pt>
                <c:pt idx="1">
                  <c:v>865</c:v>
                </c:pt>
                <c:pt idx="2">
                  <c:v>623</c:v>
                </c:pt>
              </c:numCache>
            </c:numRef>
          </c:val>
        </c:ser>
        <c:ser>
          <c:idx val="3"/>
          <c:order val="3"/>
          <c:tx>
            <c:strRef>
              <c:f>label 3</c:f>
              <c:strCache>
                <c:ptCount val="1"/>
                <c:pt idx="0">
                  <c:v>2018</c:v>
                </c:pt>
              </c:strCache>
            </c:strRef>
          </c:tx>
          <c:spPr>
            <a:solidFill>
              <a:srgbClr val="ffc000">
                <a:alpha val="85000"/>
              </a:srgbClr>
            </a:solidFill>
            <a:ln w="9360">
              <a:solidFill>
                <a:srgbClr val="ffffff">
                  <a:alpha val="50000"/>
                </a:srgbClr>
              </a:solidFill>
              <a:round/>
            </a:ln>
          </c:spPr>
          <c:invertIfNegative val="0"/>
          <c:dPt>
            <c:idx val="2"/>
            <c:invertIfNegative val="0"/>
            <c:spPr>
              <a:solidFill>
                <a:srgbClr val="ffc000">
                  <a:alpha val="85000"/>
                </a:srgbClr>
              </a:solidFill>
              <a:ln w="9360">
                <a:solidFill>
                  <a:srgbClr val="ffffff">
                    <a:alpha val="50000"/>
                  </a:srgbClr>
                </a:solidFill>
                <a:round/>
              </a:ln>
            </c:spPr>
          </c:dPt>
          <c:dLbls>
            <c:numFmt formatCode="General" sourceLinked="1"/>
            <c:dLbl>
              <c:idx val="2"/>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dLbl>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3</c:f>
              <c:numCache>
                <c:formatCode>General</c:formatCode>
                <c:ptCount val="3"/>
                <c:pt idx="0">
                  <c:v>2692</c:v>
                </c:pt>
                <c:pt idx="1">
                  <c:v>809</c:v>
                </c:pt>
                <c:pt idx="2">
                  <c:v>614</c:v>
                </c:pt>
              </c:numCache>
            </c:numRef>
          </c:val>
        </c:ser>
        <c:gapWidth val="65"/>
        <c:overlap val="0"/>
        <c:axId val="52012887"/>
        <c:axId val="62078252"/>
      </c:barChart>
      <c:catAx>
        <c:axId val="52012887"/>
        <c:scaling>
          <c:orientation val="minMax"/>
        </c:scaling>
        <c:delete val="0"/>
        <c:axPos val="b"/>
        <c:numFmt formatCode="YYYY\-MM\-DD"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62078252"/>
        <c:crosses val="autoZero"/>
        <c:auto val="1"/>
        <c:lblAlgn val="ctr"/>
        <c:lblOffset val="100"/>
      </c:catAx>
      <c:valAx>
        <c:axId val="62078252"/>
        <c:scaling>
          <c:orientation val="minMax"/>
        </c:scaling>
        <c:delete val="0"/>
        <c:axPos val="l"/>
        <c:majorGridlines>
          <c:spPr>
            <a:ln w="9360">
              <a:solidFill>
                <a:srgbClr val="bfbfbf">
                  <a:alpha val="36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04040"/>
                </a:solidFill>
                <a:latin typeface="Calibri"/>
              </a:defRPr>
            </a:pPr>
          </a:p>
        </c:txPr>
        <c:crossAx val="52012887"/>
        <c:crosses val="autoZero"/>
      </c:valAx>
      <c:spPr>
        <a:noFill/>
        <a:ln>
          <a:noFill/>
        </a:ln>
      </c:spPr>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1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600" spc="-1" strike="noStrike">
                <a:solidFill>
                  <a:srgbClr val="595959"/>
                </a:solidFill>
                <a:latin typeface="Calibri"/>
              </a:defRPr>
            </a:pPr>
            <a:r>
              <a:rPr b="0" sz="1600" spc="-1" strike="noStrike">
                <a:solidFill>
                  <a:srgbClr val="595959"/>
                </a:solidFill>
                <a:latin typeface="Calibri"/>
              </a:rPr>
              <a:t>A TTK-ra jelentkezők képzési szint választása (2015-2018)</a:t>
            </a:r>
          </a:p>
        </c:rich>
      </c:tx>
      <c:overlay val="0"/>
      <c:spPr>
        <a:noFill/>
        <a:ln>
          <a:noFill/>
        </a:ln>
      </c:spPr>
    </c:title>
    <c:autoTitleDeleted val="0"/>
    <c:plotArea>
      <c:barChart>
        <c:barDir val="col"/>
        <c:grouping val="stacked"/>
        <c:varyColors val="0"/>
        <c:ser>
          <c:idx val="0"/>
          <c:order val="0"/>
          <c:tx>
            <c:strRef>
              <c:f>label 0</c:f>
              <c:strCache>
                <c:ptCount val="1"/>
                <c:pt idx="0">
                  <c:v>alap</c:v>
                </c:pt>
              </c:strCache>
            </c:strRef>
          </c:tx>
          <c:spPr>
            <a:solidFill>
              <a:srgbClr val="70ad47"/>
            </a:soli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1759</c:v>
                </c:pt>
                <c:pt idx="1">
                  <c:v>408</c:v>
                </c:pt>
                <c:pt idx="2">
                  <c:v>324</c:v>
                </c:pt>
                <c:pt idx="3">
                  <c:v>2055</c:v>
                </c:pt>
                <c:pt idx="4">
                  <c:v>509</c:v>
                </c:pt>
                <c:pt idx="5">
                  <c:v>387</c:v>
                </c:pt>
                <c:pt idx="6">
                  <c:v>1663</c:v>
                </c:pt>
                <c:pt idx="7">
                  <c:v>420</c:v>
                </c:pt>
                <c:pt idx="8">
                  <c:v>306</c:v>
                </c:pt>
                <c:pt idx="9">
                  <c:v>1607</c:v>
                </c:pt>
                <c:pt idx="10">
                  <c:v>430</c:v>
                </c:pt>
                <c:pt idx="11">
                  <c:v>336</c:v>
                </c:pt>
              </c:numCache>
            </c:numRef>
          </c:val>
        </c:ser>
        <c:ser>
          <c:idx val="1"/>
          <c:order val="1"/>
          <c:tx>
            <c:strRef>
              <c:f>label 1</c:f>
              <c:strCache>
                <c:ptCount val="1"/>
                <c:pt idx="0">
                  <c:v>mester</c:v>
                </c:pt>
              </c:strCache>
            </c:strRef>
          </c:tx>
          <c:spPr>
            <a:solidFill>
              <a:srgbClr val="a5a5a5"/>
            </a:soli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56</c:v>
                </c:pt>
                <c:pt idx="1">
                  <c:v>21</c:v>
                </c:pt>
                <c:pt idx="2">
                  <c:v>10</c:v>
                </c:pt>
                <c:pt idx="3">
                  <c:v>43</c:v>
                </c:pt>
                <c:pt idx="4">
                  <c:v>17</c:v>
                </c:pt>
                <c:pt idx="5">
                  <c:v>13</c:v>
                </c:pt>
                <c:pt idx="6">
                  <c:v>32</c:v>
                </c:pt>
                <c:pt idx="7">
                  <c:v>20</c:v>
                </c:pt>
                <c:pt idx="8">
                  <c:v>8</c:v>
                </c:pt>
                <c:pt idx="9">
                  <c:v>28</c:v>
                </c:pt>
                <c:pt idx="10">
                  <c:v>16</c:v>
                </c:pt>
                <c:pt idx="11">
                  <c:v>124</c:v>
                </c:pt>
              </c:numCache>
            </c:numRef>
          </c:val>
        </c:ser>
        <c:ser>
          <c:idx val="2"/>
          <c:order val="2"/>
          <c:tx>
            <c:strRef>
              <c:f>label 2</c:f>
              <c:strCache>
                <c:ptCount val="1"/>
                <c:pt idx="0">
                  <c:v>osztatlan</c:v>
                </c:pt>
              </c:strCache>
            </c:strRef>
          </c:tx>
          <c:spPr>
            <a:solidFill>
              <a:srgbClr val="ffc000"/>
            </a:soli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473</c:v>
                </c:pt>
                <c:pt idx="1">
                  <c:v>166</c:v>
                </c:pt>
                <c:pt idx="2">
                  <c:v>111</c:v>
                </c:pt>
                <c:pt idx="3">
                  <c:v>703</c:v>
                </c:pt>
                <c:pt idx="4">
                  <c:v>229</c:v>
                </c:pt>
                <c:pt idx="5">
                  <c:v>160</c:v>
                </c:pt>
                <c:pt idx="6">
                  <c:v>982</c:v>
                </c:pt>
                <c:pt idx="7">
                  <c:v>368</c:v>
                </c:pt>
                <c:pt idx="8">
                  <c:v>240</c:v>
                </c:pt>
                <c:pt idx="9">
                  <c:v>825</c:v>
                </c:pt>
                <c:pt idx="10">
                  <c:v>311</c:v>
                </c:pt>
                <c:pt idx="11">
                  <c:v>78</c:v>
                </c:pt>
              </c:numCache>
            </c:numRef>
          </c:val>
        </c:ser>
        <c:ser>
          <c:idx val="3"/>
          <c:order val="3"/>
          <c:tx>
            <c:strRef>
              <c:f>label 3</c:f>
              <c:strCache>
                <c:ptCount val="1"/>
                <c:pt idx="0">
                  <c:v>FOSZ</c:v>
                </c:pt>
              </c:strCache>
            </c:strRef>
          </c:tx>
          <c:spPr>
            <a:solidFill>
              <a:srgbClr val="4472c4"/>
            </a:soli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121</c:v>
                </c:pt>
                <c:pt idx="1">
                  <c:v>21</c:v>
                </c:pt>
                <c:pt idx="2">
                  <c:v>45</c:v>
                </c:pt>
                <c:pt idx="3">
                  <c:v>127</c:v>
                </c:pt>
                <c:pt idx="4">
                  <c:v>40</c:v>
                </c:pt>
                <c:pt idx="5">
                  <c:v>53</c:v>
                </c:pt>
                <c:pt idx="6">
                  <c:v>234</c:v>
                </c:pt>
                <c:pt idx="7">
                  <c:v>57</c:v>
                </c:pt>
                <c:pt idx="8">
                  <c:v>69</c:v>
                </c:pt>
                <c:pt idx="9">
                  <c:v>232</c:v>
                </c:pt>
                <c:pt idx="10">
                  <c:v>52</c:v>
                </c:pt>
                <c:pt idx="11">
                  <c:v>76</c:v>
                </c:pt>
              </c:numCache>
            </c:numRef>
          </c:val>
        </c:ser>
        <c:gapWidth val="150"/>
        <c:overlap val="100"/>
        <c:axId val="87211985"/>
        <c:axId val="2201982"/>
      </c:barChart>
      <c:catAx>
        <c:axId val="87211985"/>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201982"/>
        <c:crosses val="autoZero"/>
        <c:auto val="1"/>
        <c:lblAlgn val="ctr"/>
        <c:lblOffset val="100"/>
      </c:catAx>
      <c:valAx>
        <c:axId val="2201982"/>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7211985"/>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AVK jelentkezőinek megoszlása tagozat szerint
(2015-2018)</a:t>
            </a:r>
          </a:p>
        </c:rich>
      </c:tx>
      <c:overlay val="0"/>
      <c:spPr>
        <a:noFill/>
        <a:ln>
          <a:noFill/>
        </a:ln>
      </c:spPr>
    </c:title>
    <c:autoTitleDeleted val="0"/>
    <c:plotArea>
      <c:barChart>
        <c:barDir val="col"/>
        <c:grouping val="percentStacked"/>
        <c:varyColors val="0"/>
        <c:ser>
          <c:idx val="0"/>
          <c:order val="0"/>
          <c:tx>
            <c:strRef>
              <c:f>label 0</c:f>
              <c:strCache>
                <c:ptCount val="1"/>
                <c:pt idx="0">
                  <c:v>össz nappali</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347</c:v>
                </c:pt>
                <c:pt idx="1">
                  <c:v>77</c:v>
                </c:pt>
                <c:pt idx="2">
                  <c:v>36</c:v>
                </c:pt>
                <c:pt idx="3">
                  <c:v>371</c:v>
                </c:pt>
                <c:pt idx="4">
                  <c:v>83</c:v>
                </c:pt>
                <c:pt idx="5">
                  <c:v>34</c:v>
                </c:pt>
                <c:pt idx="6">
                  <c:v>259</c:v>
                </c:pt>
                <c:pt idx="7">
                  <c:v>52</c:v>
                </c:pt>
                <c:pt idx="8">
                  <c:v>23</c:v>
                </c:pt>
                <c:pt idx="9">
                  <c:v>299</c:v>
                </c:pt>
                <c:pt idx="10">
                  <c:v>68</c:v>
                </c:pt>
                <c:pt idx="11">
                  <c:v>50</c:v>
                </c:pt>
              </c:numCache>
            </c:numRef>
          </c:val>
        </c:ser>
        <c:ser>
          <c:idx val="1"/>
          <c:order val="1"/>
          <c:tx>
            <c:strRef>
              <c:f>label 1</c:f>
              <c:strCache>
                <c:ptCount val="1"/>
                <c:pt idx="0">
                  <c:v>össz levelező</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339</c:v>
                </c:pt>
                <c:pt idx="1">
                  <c:v>83</c:v>
                </c:pt>
                <c:pt idx="2">
                  <c:v>54</c:v>
                </c:pt>
                <c:pt idx="3">
                  <c:v>434</c:v>
                </c:pt>
                <c:pt idx="4">
                  <c:v>126</c:v>
                </c:pt>
                <c:pt idx="5">
                  <c:v>106</c:v>
                </c:pt>
                <c:pt idx="6">
                  <c:v>377</c:v>
                </c:pt>
                <c:pt idx="7">
                  <c:v>128</c:v>
                </c:pt>
                <c:pt idx="8">
                  <c:v>86</c:v>
                </c:pt>
                <c:pt idx="9">
                  <c:v>335</c:v>
                </c:pt>
                <c:pt idx="10">
                  <c:v>99</c:v>
                </c:pt>
                <c:pt idx="11">
                  <c:v>84</c:v>
                </c:pt>
              </c:numCache>
            </c:numRef>
          </c:val>
        </c:ser>
        <c:gapWidth val="79"/>
        <c:overlap val="100"/>
        <c:axId val="52438262"/>
        <c:axId val="10295626"/>
      </c:barChart>
      <c:catAx>
        <c:axId val="52438262"/>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10295626"/>
        <c:crosses val="autoZero"/>
        <c:auto val="1"/>
        <c:lblAlgn val="ctr"/>
        <c:lblOffset val="100"/>
      </c:catAx>
      <c:valAx>
        <c:axId val="10295626"/>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2438262"/>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TTK-ra jelentkezők tagozat választása 2015-2018</a:t>
            </a:r>
          </a:p>
        </c:rich>
      </c:tx>
      <c:overlay val="0"/>
      <c:spPr>
        <a:noFill/>
        <a:ln>
          <a:noFill/>
        </a:ln>
      </c:spPr>
    </c:title>
    <c:autoTitleDeleted val="0"/>
    <c:plotArea>
      <c:barChart>
        <c:barDir val="col"/>
        <c:grouping val="percentStacked"/>
        <c:varyColors val="0"/>
        <c:ser>
          <c:idx val="0"/>
          <c:order val="0"/>
          <c:tx>
            <c:strRef>
              <c:f>label 0</c:f>
              <c:strCache>
                <c:ptCount val="1"/>
                <c:pt idx="0">
                  <c:v>nappali</c:v>
                </c:pt>
              </c:strCache>
            </c:strRef>
          </c:tx>
          <c:spPr>
            <a:solidFill>
              <a:srgbClr val="ffc000"/>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1513</c:v>
                </c:pt>
                <c:pt idx="1">
                  <c:v>393</c:v>
                </c:pt>
                <c:pt idx="2">
                  <c:v>308</c:v>
                </c:pt>
                <c:pt idx="3">
                  <c:v>1703</c:v>
                </c:pt>
                <c:pt idx="4">
                  <c:v>461</c:v>
                </c:pt>
                <c:pt idx="5">
                  <c:v>371</c:v>
                </c:pt>
                <c:pt idx="6">
                  <c:v>1448</c:v>
                </c:pt>
                <c:pt idx="7">
                  <c:v>405</c:v>
                </c:pt>
                <c:pt idx="8">
                  <c:v>296</c:v>
                </c:pt>
                <c:pt idx="9">
                  <c:v>1399</c:v>
                </c:pt>
                <c:pt idx="10">
                  <c:v>366</c:v>
                </c:pt>
                <c:pt idx="11">
                  <c:v>250</c:v>
                </c:pt>
              </c:numCache>
            </c:numRef>
          </c:val>
        </c:ser>
        <c:ser>
          <c:idx val="1"/>
          <c:order val="1"/>
          <c:tx>
            <c:strRef>
              <c:f>label 1</c:f>
              <c:strCache>
                <c:ptCount val="1"/>
                <c:pt idx="0">
                  <c:v>levelező</c:v>
                </c:pt>
              </c:strCache>
            </c:strRef>
          </c:tx>
          <c:spPr>
            <a:solidFill>
              <a:srgbClr val="70ad47"/>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896</c:v>
                </c:pt>
                <c:pt idx="1">
                  <c:v>223</c:v>
                </c:pt>
                <c:pt idx="2">
                  <c:v>182</c:v>
                </c:pt>
                <c:pt idx="3">
                  <c:v>1225</c:v>
                </c:pt>
                <c:pt idx="4">
                  <c:v>334</c:v>
                </c:pt>
                <c:pt idx="5">
                  <c:v>242</c:v>
                </c:pt>
                <c:pt idx="6">
                  <c:v>1463</c:v>
                </c:pt>
                <c:pt idx="7">
                  <c:v>460</c:v>
                </c:pt>
                <c:pt idx="8">
                  <c:v>327</c:v>
                </c:pt>
                <c:pt idx="9">
                  <c:v>1293</c:v>
                </c:pt>
                <c:pt idx="10">
                  <c:v>443</c:v>
                </c:pt>
                <c:pt idx="11">
                  <c:v>364</c:v>
                </c:pt>
              </c:numCache>
            </c:numRef>
          </c:val>
        </c:ser>
        <c:gapWidth val="79"/>
        <c:overlap val="100"/>
        <c:axId val="25132934"/>
        <c:axId val="32979453"/>
      </c:barChart>
      <c:catAx>
        <c:axId val="25132934"/>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32979453"/>
        <c:crosses val="autoZero"/>
        <c:auto val="1"/>
        <c:lblAlgn val="ctr"/>
        <c:lblOffset val="100"/>
      </c:catAx>
      <c:valAx>
        <c:axId val="32979453"/>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5132934"/>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A TTK képzési területenkénti jelentkezői
(2015-2018)</a:t>
            </a:r>
          </a:p>
        </c:rich>
      </c:tx>
      <c:overlay val="0"/>
      <c:spPr>
        <a:noFill/>
        <a:ln>
          <a:noFill/>
        </a:ln>
      </c:spPr>
    </c:title>
    <c:autoTitleDeleted val="0"/>
    <c:plotArea>
      <c:lineChart>
        <c:grouping val="standard"/>
        <c:varyColors val="0"/>
        <c:ser>
          <c:idx val="0"/>
          <c:order val="0"/>
          <c:tx>
            <c:strRef>
              <c:f>label 0</c:f>
              <c:strCache>
                <c:ptCount val="1"/>
                <c:pt idx="0">
                  <c:v>info</c:v>
                </c:pt>
              </c:strCache>
            </c:strRef>
          </c:tx>
          <c:spPr>
            <a:solidFill>
              <a:srgbClr val="5b9bd5"/>
            </a:solidFill>
            <a:ln w="28440">
              <a:solidFill>
                <a:srgbClr val="5b9bd5"/>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4"/>
                <c:pt idx="0">
                  <c:v>1</c:v>
                </c:pt>
                <c:pt idx="1">
                  <c:v>2</c:v>
                </c:pt>
                <c:pt idx="2">
                  <c:v>3</c:v>
                </c:pt>
                <c:pt idx="3">
                  <c:v>4</c:v>
                </c:pt>
                <c:pt idx="4">
                  <c:v>5</c:v>
                </c:pt>
                <c:pt idx="5">
                  <c:v>6</c:v>
                </c:pt>
                <c:pt idx="6">
                  <c:v>7</c:v>
                </c:pt>
                <c:pt idx="7">
                  <c:v>8</c:v>
                </c:pt>
                <c:pt idx="8">
                  <c:v>9</c:v>
                </c:pt>
                <c:pt idx="9">
                  <c:v>10</c:v>
                </c:pt>
                <c:pt idx="10">
                  <c:v>11</c:v>
                </c:pt>
                <c:pt idx="11">
                  <c:v/>
                </c:pt>
                <c:pt idx="12">
                  <c:v/>
                </c:pt>
                <c:pt idx="13">
                  <c:v/>
                </c:pt>
              </c:strCache>
            </c:strRef>
          </c:cat>
          <c:val>
            <c:numRef>
              <c:f>0</c:f>
              <c:numCache>
                <c:formatCode>General</c:formatCode>
                <c:ptCount val="14"/>
                <c:pt idx="0">
                  <c:v/>
                </c:pt>
                <c:pt idx="1">
                  <c:v/>
                </c:pt>
                <c:pt idx="2">
                  <c:v/>
                </c:pt>
                <c:pt idx="3">
                  <c:v>405</c:v>
                </c:pt>
                <c:pt idx="4">
                  <c:v>118</c:v>
                </c:pt>
                <c:pt idx="5">
                  <c:v>101</c:v>
                </c:pt>
                <c:pt idx="6">
                  <c:v>500</c:v>
                </c:pt>
                <c:pt idx="7">
                  <c:v>160</c:v>
                </c:pt>
                <c:pt idx="8">
                  <c:v>149</c:v>
                </c:pt>
                <c:pt idx="9">
                  <c:v>661</c:v>
                </c:pt>
                <c:pt idx="10">
                  <c:v>213</c:v>
                </c:pt>
                <c:pt idx="11">
                  <c:v>169</c:v>
                </c:pt>
                <c:pt idx="12">
                  <c:v>633</c:v>
                </c:pt>
                <c:pt idx="13">
                  <c:v>203</c:v>
                </c:pt>
              </c:numCache>
            </c:numRef>
          </c:val>
          <c:smooth val="0"/>
        </c:ser>
        <c:ser>
          <c:idx val="1"/>
          <c:order val="1"/>
          <c:tx>
            <c:strRef>
              <c:f>label 1</c:f>
              <c:strCache>
                <c:ptCount val="1"/>
                <c:pt idx="0">
                  <c:v>ped</c:v>
                </c:pt>
              </c:strCache>
            </c:strRef>
          </c:tx>
          <c:spPr>
            <a:solidFill>
              <a:srgbClr val="ed7d31"/>
            </a:solidFill>
            <a:ln w="28440">
              <a:solidFill>
                <a:srgbClr val="ed7d31"/>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4"/>
                <c:pt idx="0">
                  <c:v>1</c:v>
                </c:pt>
                <c:pt idx="1">
                  <c:v>2</c:v>
                </c:pt>
                <c:pt idx="2">
                  <c:v>3</c:v>
                </c:pt>
                <c:pt idx="3">
                  <c:v>4</c:v>
                </c:pt>
                <c:pt idx="4">
                  <c:v>5</c:v>
                </c:pt>
                <c:pt idx="5">
                  <c:v>6</c:v>
                </c:pt>
                <c:pt idx="6">
                  <c:v>7</c:v>
                </c:pt>
                <c:pt idx="7">
                  <c:v>8</c:v>
                </c:pt>
                <c:pt idx="8">
                  <c:v>9</c:v>
                </c:pt>
                <c:pt idx="9">
                  <c:v>10</c:v>
                </c:pt>
                <c:pt idx="10">
                  <c:v>11</c:v>
                </c:pt>
                <c:pt idx="11">
                  <c:v/>
                </c:pt>
                <c:pt idx="12">
                  <c:v/>
                </c:pt>
                <c:pt idx="13">
                  <c:v/>
                </c:pt>
              </c:strCache>
            </c:strRef>
          </c:cat>
          <c:val>
            <c:numRef>
              <c:f>1</c:f>
              <c:numCache>
                <c:formatCode>General</c:formatCode>
                <c:ptCount val="14"/>
                <c:pt idx="0">
                  <c:v/>
                </c:pt>
                <c:pt idx="1">
                  <c:v/>
                </c:pt>
                <c:pt idx="2">
                  <c:v/>
                </c:pt>
                <c:pt idx="3">
                  <c:v>473</c:v>
                </c:pt>
                <c:pt idx="4">
                  <c:v>166</c:v>
                </c:pt>
                <c:pt idx="5">
                  <c:v>111</c:v>
                </c:pt>
                <c:pt idx="6">
                  <c:v>703</c:v>
                </c:pt>
                <c:pt idx="7">
                  <c:v>229</c:v>
                </c:pt>
                <c:pt idx="8">
                  <c:v>160</c:v>
                </c:pt>
                <c:pt idx="9">
                  <c:v>982</c:v>
                </c:pt>
                <c:pt idx="10">
                  <c:v>368</c:v>
                </c:pt>
                <c:pt idx="11">
                  <c:v>240</c:v>
                </c:pt>
                <c:pt idx="12">
                  <c:v>825</c:v>
                </c:pt>
                <c:pt idx="13">
                  <c:v>311</c:v>
                </c:pt>
              </c:numCache>
            </c:numRef>
          </c:val>
          <c:smooth val="0"/>
        </c:ser>
        <c:ser>
          <c:idx val="2"/>
          <c:order val="2"/>
          <c:tx>
            <c:strRef>
              <c:f>label 2</c:f>
              <c:strCache>
                <c:ptCount val="1"/>
                <c:pt idx="0">
                  <c:v>sport</c:v>
                </c:pt>
              </c:strCache>
            </c:strRef>
          </c:tx>
          <c:spPr>
            <a:solidFill>
              <a:srgbClr val="a5a5a5"/>
            </a:solidFill>
            <a:ln w="28440">
              <a:solidFill>
                <a:srgbClr val="a5a5a5"/>
              </a:solidFill>
              <a:round/>
            </a:ln>
          </c:spPr>
          <c:marker>
            <c:symbol val="none"/>
          </c:marker>
          <c:dLbls>
            <c:numFmt formatCode="General" sourceLinked="1"/>
            <c:txPr>
              <a:bodyPr/>
              <a:lstStyle/>
              <a:p>
                <a:pPr>
                  <a:defRPr b="0" sz="900" spc="-1" strike="noStrike">
                    <a:solidFill>
                      <a:srgbClr val="404040"/>
                    </a:solidFill>
                    <a:latin typeface="Calibri"/>
                  </a:defRPr>
                </a:pPr>
              </a:p>
            </c:txPr>
            <c:dLblPos val="r"/>
            <c:showLegendKey val="0"/>
            <c:showVal val="1"/>
            <c:showCatName val="0"/>
            <c:showSerName val="0"/>
            <c:showPercent val="0"/>
            <c:showLeaderLines val="0"/>
          </c:dLbls>
          <c:cat>
            <c:strRef>
              <c:f>categories</c:f>
              <c:strCache>
                <c:ptCount val="14"/>
                <c:pt idx="0">
                  <c:v>1</c:v>
                </c:pt>
                <c:pt idx="1">
                  <c:v>2</c:v>
                </c:pt>
                <c:pt idx="2">
                  <c:v>3</c:v>
                </c:pt>
                <c:pt idx="3">
                  <c:v>4</c:v>
                </c:pt>
                <c:pt idx="4">
                  <c:v>5</c:v>
                </c:pt>
                <c:pt idx="5">
                  <c:v>6</c:v>
                </c:pt>
                <c:pt idx="6">
                  <c:v>7</c:v>
                </c:pt>
                <c:pt idx="7">
                  <c:v>8</c:v>
                </c:pt>
                <c:pt idx="8">
                  <c:v>9</c:v>
                </c:pt>
                <c:pt idx="9">
                  <c:v>10</c:v>
                </c:pt>
                <c:pt idx="10">
                  <c:v>11</c:v>
                </c:pt>
                <c:pt idx="11">
                  <c:v/>
                </c:pt>
                <c:pt idx="12">
                  <c:v/>
                </c:pt>
                <c:pt idx="13">
                  <c:v/>
                </c:pt>
              </c:strCache>
            </c:strRef>
          </c:cat>
          <c:val>
            <c:numRef>
              <c:f>2</c:f>
              <c:numCache>
                <c:formatCode>General</c:formatCode>
                <c:ptCount val="14"/>
                <c:pt idx="0">
                  <c:v/>
                </c:pt>
                <c:pt idx="1">
                  <c:v/>
                </c:pt>
                <c:pt idx="2">
                  <c:v/>
                </c:pt>
                <c:pt idx="3">
                  <c:v>1091</c:v>
                </c:pt>
                <c:pt idx="4">
                  <c:v>222</c:v>
                </c:pt>
                <c:pt idx="5">
                  <c:v>214</c:v>
                </c:pt>
                <c:pt idx="6">
                  <c:v>1225</c:v>
                </c:pt>
                <c:pt idx="7">
                  <c:v>269</c:v>
                </c:pt>
                <c:pt idx="8">
                  <c:v>190</c:v>
                </c:pt>
                <c:pt idx="9">
                  <c:v>956</c:v>
                </c:pt>
                <c:pt idx="10">
                  <c:v>197</c:v>
                </c:pt>
                <c:pt idx="11">
                  <c:v>161</c:v>
                </c:pt>
                <c:pt idx="12">
                  <c:v>924</c:v>
                </c:pt>
                <c:pt idx="13">
                  <c:v>211</c:v>
                </c:pt>
              </c:numCache>
            </c:numRef>
          </c:val>
          <c:smooth val="0"/>
        </c:ser>
        <c:ser>
          <c:idx val="3"/>
          <c:order val="3"/>
          <c:tx>
            <c:strRef>
              <c:f>label 3</c:f>
              <c:strCache>
                <c:ptCount val="1"/>
                <c:pt idx="0">
                  <c:v>term</c:v>
                </c:pt>
              </c:strCache>
            </c:strRef>
          </c:tx>
          <c:spPr>
            <a:solidFill>
              <a:srgbClr val="ffc000"/>
            </a:solidFill>
            <a:ln w="28440">
              <a:solidFill>
                <a:srgbClr val="ffc000"/>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4"/>
                <c:pt idx="0">
                  <c:v>1</c:v>
                </c:pt>
                <c:pt idx="1">
                  <c:v>2</c:v>
                </c:pt>
                <c:pt idx="2">
                  <c:v>3</c:v>
                </c:pt>
                <c:pt idx="3">
                  <c:v>4</c:v>
                </c:pt>
                <c:pt idx="4">
                  <c:v>5</c:v>
                </c:pt>
                <c:pt idx="5">
                  <c:v>6</c:v>
                </c:pt>
                <c:pt idx="6">
                  <c:v>7</c:v>
                </c:pt>
                <c:pt idx="7">
                  <c:v>8</c:v>
                </c:pt>
                <c:pt idx="8">
                  <c:v>9</c:v>
                </c:pt>
                <c:pt idx="9">
                  <c:v>10</c:v>
                </c:pt>
                <c:pt idx="10">
                  <c:v>11</c:v>
                </c:pt>
                <c:pt idx="11">
                  <c:v/>
                </c:pt>
                <c:pt idx="12">
                  <c:v/>
                </c:pt>
                <c:pt idx="13">
                  <c:v/>
                </c:pt>
              </c:strCache>
            </c:strRef>
          </c:cat>
          <c:val>
            <c:numRef>
              <c:f>3</c:f>
              <c:numCache>
                <c:formatCode>General</c:formatCode>
                <c:ptCount val="14"/>
                <c:pt idx="0">
                  <c:v/>
                </c:pt>
                <c:pt idx="1">
                  <c:v/>
                </c:pt>
                <c:pt idx="2">
                  <c:v/>
                </c:pt>
                <c:pt idx="3">
                  <c:v>440</c:v>
                </c:pt>
                <c:pt idx="4">
                  <c:v>110</c:v>
                </c:pt>
                <c:pt idx="5">
                  <c:v>64</c:v>
                </c:pt>
                <c:pt idx="6">
                  <c:v>500</c:v>
                </c:pt>
                <c:pt idx="7">
                  <c:v>137</c:v>
                </c:pt>
                <c:pt idx="8">
                  <c:v>114</c:v>
                </c:pt>
                <c:pt idx="9">
                  <c:v>312</c:v>
                </c:pt>
                <c:pt idx="10">
                  <c:v>87</c:v>
                </c:pt>
                <c:pt idx="11">
                  <c:v>53</c:v>
                </c:pt>
                <c:pt idx="12">
                  <c:v>310</c:v>
                </c:pt>
                <c:pt idx="13">
                  <c:v>84</c:v>
                </c:pt>
              </c:numCache>
            </c:numRef>
          </c:val>
          <c:smooth val="0"/>
        </c:ser>
        <c:hiLowLines>
          <c:spPr>
            <a:ln>
              <a:noFill/>
            </a:ln>
          </c:spPr>
        </c:hiLowLines>
        <c:marker val="0"/>
        <c:axId val="78315682"/>
        <c:axId val="29640817"/>
      </c:lineChart>
      <c:catAx>
        <c:axId val="78315682"/>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9640817"/>
        <c:crosses val="autoZero"/>
        <c:auto val="1"/>
        <c:lblAlgn val="ctr"/>
        <c:lblOffset val="100"/>
      </c:catAx>
      <c:valAx>
        <c:axId val="29640817"/>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78315682"/>
        <c:crosses val="autoZero"/>
        <c:crossBetween val="midCat"/>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17" strike="noStrike">
                <a:solidFill>
                  <a:srgbClr val="595959"/>
                </a:solidFill>
                <a:latin typeface="Calibri"/>
              </a:defRPr>
            </a:pPr>
            <a:r>
              <a:rPr b="1" sz="1400" spc="117" strike="noStrike">
                <a:solidFill>
                  <a:srgbClr val="595959"/>
                </a:solidFill>
                <a:latin typeface="Calibri"/>
              </a:rPr>
              <a:t>A TTK informatikai képzési területére beadott jelentkezések (2015-2018)</a:t>
            </a:r>
          </a:p>
        </c:rich>
      </c:tx>
      <c:overlay val="0"/>
      <c:spPr>
        <a:noFill/>
        <a:ln>
          <a:noFill/>
        </a:ln>
      </c:spPr>
    </c:title>
    <c:autoTitleDeleted val="0"/>
    <c:plotArea>
      <c:barChart>
        <c:barDir val="col"/>
        <c:grouping val="clustered"/>
        <c:varyColors val="0"/>
        <c:ser>
          <c:idx val="0"/>
          <c:order val="0"/>
          <c:tx>
            <c:strRef>
              <c:f>label 0</c:f>
              <c:strCache>
                <c:ptCount val="1"/>
                <c:pt idx="0">
                  <c:v>Összes jelentkező</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0</c:f>
              <c:numCache>
                <c:formatCode>General</c:formatCode>
                <c:ptCount val="4"/>
                <c:pt idx="0">
                  <c:v>405</c:v>
                </c:pt>
                <c:pt idx="1">
                  <c:v>500</c:v>
                </c:pt>
                <c:pt idx="2">
                  <c:v>661</c:v>
                </c:pt>
                <c:pt idx="3">
                  <c:v>633</c:v>
                </c:pt>
              </c:numCache>
            </c:numRef>
          </c:val>
        </c:ser>
        <c:ser>
          <c:idx val="1"/>
          <c:order val="1"/>
          <c:tx>
            <c:strRef>
              <c:f>label 1</c:f>
              <c:strCache>
                <c:ptCount val="1"/>
                <c:pt idx="0">
                  <c:v>Első helyes jelentkező</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1</c:f>
              <c:numCache>
                <c:formatCode>General</c:formatCode>
                <c:ptCount val="4"/>
                <c:pt idx="0">
                  <c:v>118</c:v>
                </c:pt>
                <c:pt idx="1">
                  <c:v>160</c:v>
                </c:pt>
                <c:pt idx="2">
                  <c:v>213</c:v>
                </c:pt>
                <c:pt idx="3">
                  <c:v>203</c:v>
                </c:pt>
              </c:numCache>
            </c:numRef>
          </c:val>
        </c:ser>
        <c:ser>
          <c:idx val="2"/>
          <c:order val="2"/>
          <c:tx>
            <c:strRef>
              <c:f>label 2</c:f>
              <c:strCache>
                <c:ptCount val="1"/>
                <c:pt idx="0">
                  <c:v>Felvett hallgató</c:v>
                </c:pt>
              </c:strCache>
            </c:strRef>
          </c:tx>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2</c:f>
              <c:numCache>
                <c:formatCode>General</c:formatCode>
                <c:ptCount val="4"/>
                <c:pt idx="0">
                  <c:v>101</c:v>
                </c:pt>
                <c:pt idx="1">
                  <c:v>149</c:v>
                </c:pt>
                <c:pt idx="2">
                  <c:v>169</c:v>
                </c:pt>
                <c:pt idx="3">
                  <c:v/>
                </c:pt>
              </c:numCache>
            </c:numRef>
          </c:val>
        </c:ser>
        <c:gapWidth val="444"/>
        <c:overlap val="-90"/>
        <c:axId val="11735210"/>
        <c:axId val="46027641"/>
      </c:barChart>
      <c:catAx>
        <c:axId val="11735210"/>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46027641"/>
        <c:crosses val="autoZero"/>
        <c:auto val="1"/>
        <c:lblAlgn val="ctr"/>
        <c:lblOffset val="100"/>
      </c:catAx>
      <c:valAx>
        <c:axId val="46027641"/>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11735210"/>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17" strike="noStrike">
                <a:solidFill>
                  <a:srgbClr val="595959"/>
                </a:solidFill>
                <a:latin typeface="Calibri"/>
              </a:defRPr>
            </a:pPr>
            <a:r>
              <a:rPr b="1" sz="1400" spc="117" strike="noStrike">
                <a:solidFill>
                  <a:srgbClr val="595959"/>
                </a:solidFill>
                <a:latin typeface="Calibri"/>
              </a:rPr>
              <a:t>A TTK természettudományi képzési területére beadott jelentkezések (2015-2018)</a:t>
            </a:r>
          </a:p>
        </c:rich>
      </c:tx>
      <c:overlay val="0"/>
      <c:spPr>
        <a:noFill/>
        <a:ln>
          <a:noFill/>
        </a:ln>
      </c:spPr>
    </c:title>
    <c:autoTitleDeleted val="0"/>
    <c:plotArea>
      <c:barChart>
        <c:barDir val="col"/>
        <c:grouping val="clustered"/>
        <c:varyColors val="0"/>
        <c:ser>
          <c:idx val="0"/>
          <c:order val="0"/>
          <c:tx>
            <c:strRef>
              <c:f>label 0</c:f>
              <c:strCache>
                <c:ptCount val="1"/>
                <c:pt idx="0">
                  <c:v>Összes jelentkező</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0</c:f>
              <c:numCache>
                <c:formatCode>General</c:formatCode>
                <c:ptCount val="4"/>
                <c:pt idx="0">
                  <c:v>440</c:v>
                </c:pt>
                <c:pt idx="1">
                  <c:v>500</c:v>
                </c:pt>
                <c:pt idx="2">
                  <c:v>312</c:v>
                </c:pt>
                <c:pt idx="3">
                  <c:v>310</c:v>
                </c:pt>
              </c:numCache>
            </c:numRef>
          </c:val>
        </c:ser>
        <c:ser>
          <c:idx val="1"/>
          <c:order val="1"/>
          <c:tx>
            <c:strRef>
              <c:f>label 1</c:f>
              <c:strCache>
                <c:ptCount val="1"/>
                <c:pt idx="0">
                  <c:v>Első helyes jelentkező</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1</c:f>
              <c:numCache>
                <c:formatCode>General</c:formatCode>
                <c:ptCount val="4"/>
                <c:pt idx="0">
                  <c:v>110</c:v>
                </c:pt>
                <c:pt idx="1">
                  <c:v>137</c:v>
                </c:pt>
                <c:pt idx="2">
                  <c:v>87</c:v>
                </c:pt>
                <c:pt idx="3">
                  <c:v>84</c:v>
                </c:pt>
              </c:numCache>
            </c:numRef>
          </c:val>
        </c:ser>
        <c:ser>
          <c:idx val="2"/>
          <c:order val="2"/>
          <c:tx>
            <c:strRef>
              <c:f>label 2</c:f>
              <c:strCache>
                <c:ptCount val="1"/>
                <c:pt idx="0">
                  <c:v>Felvett hallgató</c:v>
                </c:pt>
              </c:strCache>
            </c:strRef>
          </c:tx>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2</c:f>
              <c:numCache>
                <c:formatCode>General</c:formatCode>
                <c:ptCount val="4"/>
                <c:pt idx="0">
                  <c:v>64</c:v>
                </c:pt>
                <c:pt idx="1">
                  <c:v>114</c:v>
                </c:pt>
                <c:pt idx="2">
                  <c:v>53</c:v>
                </c:pt>
                <c:pt idx="3">
                  <c:v/>
                </c:pt>
              </c:numCache>
            </c:numRef>
          </c:val>
        </c:ser>
        <c:gapWidth val="444"/>
        <c:overlap val="-90"/>
        <c:axId val="27862330"/>
        <c:axId val="75856867"/>
      </c:barChart>
      <c:catAx>
        <c:axId val="27862330"/>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75856867"/>
        <c:crosses val="autoZero"/>
        <c:auto val="1"/>
        <c:lblAlgn val="ctr"/>
        <c:lblOffset val="100"/>
      </c:catAx>
      <c:valAx>
        <c:axId val="75856867"/>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7862330"/>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TTK sport képzési területére beadott jelentkezések (2015-2018)</a:t>
            </a:r>
          </a:p>
        </c:rich>
      </c:tx>
      <c:overlay val="0"/>
      <c:spPr>
        <a:noFill/>
        <a:ln>
          <a:noFill/>
        </a:ln>
      </c:spPr>
    </c:title>
    <c:autoTitleDeleted val="0"/>
    <c:plotArea>
      <c:barChart>
        <c:barDir val="col"/>
        <c:grouping val="clustered"/>
        <c:varyColors val="0"/>
        <c:ser>
          <c:idx val="0"/>
          <c:order val="0"/>
          <c:tx>
            <c:strRef>
              <c:f>label 0</c:f>
              <c:strCache>
                <c:ptCount val="1"/>
                <c:pt idx="0">
                  <c:v>Összes jelentkező</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0</c:f>
              <c:numCache>
                <c:formatCode>General</c:formatCode>
                <c:ptCount val="4"/>
                <c:pt idx="0">
                  <c:v>1091</c:v>
                </c:pt>
                <c:pt idx="1">
                  <c:v>1225</c:v>
                </c:pt>
                <c:pt idx="2">
                  <c:v>956</c:v>
                </c:pt>
                <c:pt idx="3">
                  <c:v>924</c:v>
                </c:pt>
              </c:numCache>
            </c:numRef>
          </c:val>
        </c:ser>
        <c:ser>
          <c:idx val="1"/>
          <c:order val="1"/>
          <c:tx>
            <c:strRef>
              <c:f>label 1</c:f>
              <c:strCache>
                <c:ptCount val="1"/>
                <c:pt idx="0">
                  <c:v>Első helyes jelentkező</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1</c:f>
              <c:numCache>
                <c:formatCode>General</c:formatCode>
                <c:ptCount val="4"/>
                <c:pt idx="0">
                  <c:v>222</c:v>
                </c:pt>
                <c:pt idx="1">
                  <c:v>269</c:v>
                </c:pt>
                <c:pt idx="2">
                  <c:v>197</c:v>
                </c:pt>
                <c:pt idx="3">
                  <c:v>211</c:v>
                </c:pt>
              </c:numCache>
            </c:numRef>
          </c:val>
        </c:ser>
        <c:ser>
          <c:idx val="2"/>
          <c:order val="2"/>
          <c:tx>
            <c:strRef>
              <c:f>label 2</c:f>
              <c:strCache>
                <c:ptCount val="1"/>
                <c:pt idx="0">
                  <c:v>Felvett hallgató</c:v>
                </c:pt>
              </c:strCache>
            </c:strRef>
          </c:tx>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2</c:f>
              <c:numCache>
                <c:formatCode>General</c:formatCode>
                <c:ptCount val="4"/>
                <c:pt idx="0">
                  <c:v>214</c:v>
                </c:pt>
                <c:pt idx="1">
                  <c:v>190</c:v>
                </c:pt>
                <c:pt idx="2">
                  <c:v>161</c:v>
                </c:pt>
                <c:pt idx="3">
                  <c:v/>
                </c:pt>
              </c:numCache>
            </c:numRef>
          </c:val>
        </c:ser>
        <c:gapWidth val="444"/>
        <c:overlap val="-90"/>
        <c:axId val="24926854"/>
        <c:axId val="26827626"/>
      </c:barChart>
      <c:catAx>
        <c:axId val="24926854"/>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26827626"/>
        <c:crosses val="autoZero"/>
        <c:auto val="1"/>
        <c:lblAlgn val="ctr"/>
        <c:lblOffset val="100"/>
      </c:catAx>
      <c:valAx>
        <c:axId val="26827626"/>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4926854"/>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TTK pedagógia képzési területre beadott jelentkezései(2015-2018)</a:t>
            </a:r>
          </a:p>
        </c:rich>
      </c:tx>
      <c:overlay val="0"/>
      <c:spPr>
        <a:noFill/>
        <a:ln>
          <a:noFill/>
        </a:ln>
      </c:spPr>
    </c:title>
    <c:autoTitleDeleted val="0"/>
    <c:plotArea>
      <c:barChart>
        <c:barDir val="col"/>
        <c:grouping val="clustered"/>
        <c:varyColors val="0"/>
        <c:ser>
          <c:idx val="0"/>
          <c:order val="0"/>
          <c:tx>
            <c:strRef>
              <c:f>label 0</c:f>
              <c:strCache>
                <c:ptCount val="1"/>
                <c:pt idx="0">
                  <c:v>Összes jelentkező</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0</c:f>
              <c:numCache>
                <c:formatCode>General</c:formatCode>
                <c:ptCount val="4"/>
                <c:pt idx="0">
                  <c:v>473</c:v>
                </c:pt>
                <c:pt idx="1">
                  <c:v>703</c:v>
                </c:pt>
                <c:pt idx="2">
                  <c:v>982</c:v>
                </c:pt>
                <c:pt idx="3">
                  <c:v>825</c:v>
                </c:pt>
              </c:numCache>
            </c:numRef>
          </c:val>
        </c:ser>
        <c:ser>
          <c:idx val="1"/>
          <c:order val="1"/>
          <c:tx>
            <c:strRef>
              <c:f>label 1</c:f>
              <c:strCache>
                <c:ptCount val="1"/>
                <c:pt idx="0">
                  <c:v>Első helyes jelentkező</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1</c:f>
              <c:numCache>
                <c:formatCode>General</c:formatCode>
                <c:ptCount val="4"/>
                <c:pt idx="0">
                  <c:v>166</c:v>
                </c:pt>
                <c:pt idx="1">
                  <c:v>229</c:v>
                </c:pt>
                <c:pt idx="2">
                  <c:v>368</c:v>
                </c:pt>
                <c:pt idx="3">
                  <c:v>311</c:v>
                </c:pt>
              </c:numCache>
            </c:numRef>
          </c:val>
        </c:ser>
        <c:ser>
          <c:idx val="2"/>
          <c:order val="2"/>
          <c:tx>
            <c:strRef>
              <c:f>label 2</c:f>
              <c:strCache>
                <c:ptCount val="1"/>
                <c:pt idx="0">
                  <c:v>Felvett hallgató</c:v>
                </c:pt>
              </c:strCache>
            </c:strRef>
          </c:tx>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2</c:f>
              <c:numCache>
                <c:formatCode>General</c:formatCode>
                <c:ptCount val="4"/>
                <c:pt idx="0">
                  <c:v>111</c:v>
                </c:pt>
                <c:pt idx="1">
                  <c:v>160</c:v>
                </c:pt>
                <c:pt idx="2">
                  <c:v>240</c:v>
                </c:pt>
                <c:pt idx="3">
                  <c:v/>
                </c:pt>
              </c:numCache>
            </c:numRef>
          </c:val>
        </c:ser>
        <c:gapWidth val="444"/>
        <c:overlap val="-90"/>
        <c:axId val="23932792"/>
        <c:axId val="57921140"/>
      </c:barChart>
      <c:catAx>
        <c:axId val="23932792"/>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57921140"/>
        <c:crosses val="autoZero"/>
        <c:auto val="1"/>
        <c:lblAlgn val="ctr"/>
        <c:lblOffset val="100"/>
      </c:catAx>
      <c:valAx>
        <c:axId val="57921140"/>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23932792"/>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 strike="noStrike">
                <a:solidFill>
                  <a:srgbClr val="404040"/>
                </a:solidFill>
                <a:latin typeface="Calibri"/>
              </a:defRPr>
            </a:pPr>
            <a:r>
              <a:rPr b="1" sz="1800" spc="-1" strike="noStrike">
                <a:solidFill>
                  <a:srgbClr val="404040"/>
                </a:solidFill>
                <a:latin typeface="Calibri"/>
              </a:rPr>
              <a:t>Az osztatlan tanárszakokra beadott jelentkezések összesített adatai (2015-2018)</a:t>
            </a:r>
          </a:p>
        </c:rich>
      </c:tx>
      <c:overlay val="0"/>
      <c:spPr>
        <a:noFill/>
        <a:ln>
          <a:noFill/>
        </a:ln>
      </c:spPr>
    </c:title>
    <c:autoTitleDeleted val="0"/>
    <c:plotArea>
      <c:barChart>
        <c:barDir val="bar"/>
        <c:grouping val="clustered"/>
        <c:varyColors val="0"/>
        <c:ser>
          <c:idx val="0"/>
          <c:order val="0"/>
          <c:tx>
            <c:strRef>
              <c:f>label 0</c:f>
              <c:strCache>
                <c:ptCount val="1"/>
                <c:pt idx="0">
                  <c:v>2015</c:v>
                </c:pt>
              </c:strCache>
            </c:strRef>
          </c:tx>
          <c:spPr>
            <a:solidFill>
              <a:srgbClr val="5b9bd5">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0</c:f>
              <c:numCache>
                <c:formatCode>General</c:formatCode>
                <c:ptCount val="3"/>
                <c:pt idx="0">
                  <c:v>1094</c:v>
                </c:pt>
                <c:pt idx="1">
                  <c:v>342</c:v>
                </c:pt>
                <c:pt idx="2">
                  <c:v>245</c:v>
                </c:pt>
              </c:numCache>
            </c:numRef>
          </c:val>
        </c:ser>
        <c:ser>
          <c:idx val="1"/>
          <c:order val="1"/>
          <c:tx>
            <c:strRef>
              <c:f>label 1</c:f>
              <c:strCache>
                <c:ptCount val="1"/>
                <c:pt idx="0">
                  <c:v>2016</c:v>
                </c:pt>
              </c:strCache>
            </c:strRef>
          </c:tx>
          <c:spPr>
            <a:solidFill>
              <a:srgbClr val="ed7d31">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1</c:f>
              <c:numCache>
                <c:formatCode>General</c:formatCode>
                <c:ptCount val="3"/>
                <c:pt idx="0">
                  <c:v>1526</c:v>
                </c:pt>
                <c:pt idx="1">
                  <c:v>478</c:v>
                </c:pt>
                <c:pt idx="2">
                  <c:v>359</c:v>
                </c:pt>
              </c:numCache>
            </c:numRef>
          </c:val>
        </c:ser>
        <c:ser>
          <c:idx val="2"/>
          <c:order val="2"/>
          <c:tx>
            <c:strRef>
              <c:f>label 2</c:f>
              <c:strCache>
                <c:ptCount val="1"/>
                <c:pt idx="0">
                  <c:v>2017</c:v>
                </c:pt>
              </c:strCache>
            </c:strRef>
          </c:tx>
          <c:spPr>
            <a:solidFill>
              <a:srgbClr val="a5a5a5">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2</c:f>
              <c:numCache>
                <c:formatCode>General</c:formatCode>
                <c:ptCount val="3"/>
                <c:pt idx="0">
                  <c:v>2252</c:v>
                </c:pt>
                <c:pt idx="1">
                  <c:v>753</c:v>
                </c:pt>
                <c:pt idx="2">
                  <c:v>520</c:v>
                </c:pt>
              </c:numCache>
            </c:numRef>
          </c:val>
        </c:ser>
        <c:ser>
          <c:idx val="3"/>
          <c:order val="3"/>
          <c:tx>
            <c:strRef>
              <c:f>label 3</c:f>
              <c:strCache>
                <c:ptCount val="1"/>
                <c:pt idx="0">
                  <c:v>2018</c:v>
                </c:pt>
              </c:strCache>
            </c:strRef>
          </c:tx>
          <c:spPr>
            <a:solidFill>
              <a:srgbClr val="ffc000">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3</c:f>
              <c:numCache>
                <c:formatCode>General</c:formatCode>
                <c:ptCount val="3"/>
                <c:pt idx="0">
                  <c:v>1956</c:v>
                </c:pt>
                <c:pt idx="1">
                  <c:v>692</c:v>
                </c:pt>
                <c:pt idx="2">
                  <c:v/>
                </c:pt>
              </c:numCache>
            </c:numRef>
          </c:val>
        </c:ser>
        <c:gapWidth val="65"/>
        <c:overlap val="0"/>
        <c:axId val="10804500"/>
        <c:axId val="46248733"/>
      </c:barChart>
      <c:catAx>
        <c:axId val="10804500"/>
        <c:scaling>
          <c:orientation val="minMax"/>
        </c:scaling>
        <c:delete val="0"/>
        <c:axPos val="b"/>
        <c:numFmt formatCode="YYYY\-MM\-DD"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46248733"/>
        <c:crosses val="autoZero"/>
        <c:auto val="1"/>
        <c:lblAlgn val="ctr"/>
        <c:lblOffset val="100"/>
      </c:catAx>
      <c:valAx>
        <c:axId val="46248733"/>
        <c:scaling>
          <c:orientation val="minMax"/>
        </c:scaling>
        <c:delete val="0"/>
        <c:axPos val="l"/>
        <c:majorGridlines>
          <c:spPr>
            <a:ln w="9360">
              <a:solidFill>
                <a:srgbClr val="bfbfbf">
                  <a:alpha val="36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04040"/>
                </a:solidFill>
                <a:latin typeface="Calibri"/>
              </a:defRPr>
            </a:pPr>
          </a:p>
        </c:txPr>
        <c:crossAx val="10804500"/>
        <c:crosses val="autoZero"/>
      </c:valAx>
      <c:spPr>
        <a:noFill/>
        <a:ln>
          <a:noFill/>
        </a:ln>
      </c:spPr>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2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Az osztatlan tanár szakokra jelentkezők tagozat választási aránya (2015-2018)</a:t>
            </a:r>
          </a:p>
        </c:rich>
      </c:tx>
      <c:overlay val="0"/>
      <c:spPr>
        <a:noFill/>
        <a:ln>
          <a:noFill/>
        </a:ln>
      </c:spPr>
    </c:title>
    <c:autoTitleDeleted val="0"/>
    <c:plotArea>
      <c:barChart>
        <c:barDir val="col"/>
        <c:grouping val="percentStacked"/>
        <c:varyColors val="0"/>
        <c:ser>
          <c:idx val="0"/>
          <c:order val="0"/>
          <c:tx>
            <c:strRef>
              <c:f>label 0</c:f>
              <c:strCache>
                <c:ptCount val="1"/>
                <c:pt idx="0">
                  <c:v>nappali</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0</c:f>
              <c:numCache>
                <c:formatCode>General</c:formatCode>
                <c:ptCount val="11"/>
                <c:pt idx="0">
                  <c:v>677</c:v>
                </c:pt>
                <c:pt idx="1">
                  <c:v>193</c:v>
                </c:pt>
                <c:pt idx="2">
                  <c:v>146</c:v>
                </c:pt>
                <c:pt idx="3">
                  <c:v>873</c:v>
                </c:pt>
                <c:pt idx="4">
                  <c:v>270</c:v>
                </c:pt>
                <c:pt idx="5">
                  <c:v>238</c:v>
                </c:pt>
                <c:pt idx="6">
                  <c:v>1062</c:v>
                </c:pt>
                <c:pt idx="7">
                  <c:v>337</c:v>
                </c:pt>
                <c:pt idx="8">
                  <c:v>254</c:v>
                </c:pt>
                <c:pt idx="9">
                  <c:v>974</c:v>
                </c:pt>
                <c:pt idx="10">
                  <c:v>304</c:v>
                </c:pt>
              </c:numCache>
            </c:numRef>
          </c:val>
        </c:ser>
        <c:ser>
          <c:idx val="1"/>
          <c:order val="1"/>
          <c:tx>
            <c:strRef>
              <c:f>label 1</c:f>
              <c:strCache>
                <c:ptCount val="1"/>
                <c:pt idx="0">
                  <c:v>levelező</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1</c:f>
              <c:numCache>
                <c:formatCode>General</c:formatCode>
                <c:ptCount val="11"/>
                <c:pt idx="0">
                  <c:v>417</c:v>
                </c:pt>
                <c:pt idx="1">
                  <c:v>149</c:v>
                </c:pt>
                <c:pt idx="2">
                  <c:v>99</c:v>
                </c:pt>
                <c:pt idx="3">
                  <c:v>653</c:v>
                </c:pt>
                <c:pt idx="4">
                  <c:v>208</c:v>
                </c:pt>
                <c:pt idx="5">
                  <c:v>121</c:v>
                </c:pt>
                <c:pt idx="6">
                  <c:v>1190</c:v>
                </c:pt>
                <c:pt idx="7">
                  <c:v>416</c:v>
                </c:pt>
                <c:pt idx="8">
                  <c:v>266</c:v>
                </c:pt>
                <c:pt idx="9">
                  <c:v>982</c:v>
                </c:pt>
                <c:pt idx="10">
                  <c:v>388</c:v>
                </c:pt>
              </c:numCache>
            </c:numRef>
          </c:val>
        </c:ser>
        <c:gapWidth val="79"/>
        <c:overlap val="100"/>
        <c:axId val="52648985"/>
        <c:axId val="1718252"/>
      </c:barChart>
      <c:catAx>
        <c:axId val="52648985"/>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1718252"/>
        <c:crosses val="autoZero"/>
        <c:auto val="1"/>
        <c:lblAlgn val="ctr"/>
        <c:lblOffset val="100"/>
      </c:catAx>
      <c:valAx>
        <c:axId val="1718252"/>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2648985"/>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17" strike="noStrike">
                <a:solidFill>
                  <a:srgbClr val="595959"/>
                </a:solidFill>
                <a:latin typeface="Calibri"/>
              </a:defRPr>
            </a:pPr>
            <a:r>
              <a:rPr b="1" sz="1200" spc="117" strike="noStrike">
                <a:solidFill>
                  <a:srgbClr val="595959"/>
                </a:solidFill>
                <a:latin typeface="Calibri"/>
              </a:rPr>
              <a:t>Az osztatlan tanárszakokra jelentkezők aránya karonkénti bontásban (2015-2018)</a:t>
            </a:r>
          </a:p>
        </c:rich>
      </c:tx>
      <c:overlay val="0"/>
      <c:spPr>
        <a:noFill/>
        <a:ln>
          <a:noFill/>
        </a:ln>
      </c:spPr>
    </c:title>
    <c:autoTitleDeleted val="0"/>
    <c:plotArea>
      <c:barChart>
        <c:barDir val="bar"/>
        <c:grouping val="percentStacked"/>
        <c:varyColors val="0"/>
        <c:ser>
          <c:idx val="0"/>
          <c:order val="0"/>
          <c:tx>
            <c:strRef>
              <c:f>label 0</c:f>
              <c:strCache>
                <c:ptCount val="1"/>
                <c:pt idx="0">
                  <c:v>BTK</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0</c:f>
              <c:numCache>
                <c:formatCode>General</c:formatCode>
                <c:ptCount val="11"/>
                <c:pt idx="0">
                  <c:v>455</c:v>
                </c:pt>
                <c:pt idx="1">
                  <c:v>127</c:v>
                </c:pt>
                <c:pt idx="2">
                  <c:v>99</c:v>
                </c:pt>
                <c:pt idx="3">
                  <c:v>555</c:v>
                </c:pt>
                <c:pt idx="4">
                  <c:v>164</c:v>
                </c:pt>
                <c:pt idx="5">
                  <c:v>142</c:v>
                </c:pt>
                <c:pt idx="6">
                  <c:v>887</c:v>
                </c:pt>
                <c:pt idx="7">
                  <c:v>260</c:v>
                </c:pt>
                <c:pt idx="8">
                  <c:v>204</c:v>
                </c:pt>
                <c:pt idx="9">
                  <c:v>788</c:v>
                </c:pt>
                <c:pt idx="10">
                  <c:v>245</c:v>
                </c:pt>
              </c:numCache>
            </c:numRef>
          </c:val>
        </c:ser>
        <c:ser>
          <c:idx val="1"/>
          <c:order val="1"/>
          <c:tx>
            <c:strRef>
              <c:f>label 1</c:f>
              <c:strCache>
                <c:ptCount val="1"/>
                <c:pt idx="0">
                  <c:v>GTK</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1</c:f>
              <c:numCache>
                <c:formatCode>General</c:formatCode>
                <c:ptCount val="11"/>
                <c:pt idx="0">
                  <c:v>21</c:v>
                </c:pt>
                <c:pt idx="1">
                  <c:v>10</c:v>
                </c:pt>
                <c:pt idx="2">
                  <c:v>9</c:v>
                </c:pt>
                <c:pt idx="3">
                  <c:v>18</c:v>
                </c:pt>
                <c:pt idx="4">
                  <c:v>8</c:v>
                </c:pt>
                <c:pt idx="5">
                  <c:v>7</c:v>
                </c:pt>
                <c:pt idx="6">
                  <c:v>16</c:v>
                </c:pt>
                <c:pt idx="7">
                  <c:v>3</c:v>
                </c:pt>
                <c:pt idx="8">
                  <c:v>2</c:v>
                </c:pt>
                <c:pt idx="9">
                  <c:v>4</c:v>
                </c:pt>
                <c:pt idx="10">
                  <c:v>0</c:v>
                </c:pt>
              </c:numCache>
            </c:numRef>
          </c:val>
        </c:ser>
        <c:ser>
          <c:idx val="2"/>
          <c:order val="2"/>
          <c:tx>
            <c:strRef>
              <c:f>label 2</c:f>
              <c:strCache>
                <c:ptCount val="1"/>
                <c:pt idx="0">
                  <c:v>PK</c:v>
                </c:pt>
              </c:strCache>
            </c:strRef>
          </c:tx>
          <c:spPr>
            <a:solidFill>
              <a:srgbClr val="a5a5a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2</c:f>
              <c:numCache>
                <c:formatCode>General</c:formatCode>
                <c:ptCount val="11"/>
                <c:pt idx="0">
                  <c:v>145</c:v>
                </c:pt>
                <c:pt idx="1">
                  <c:v>39</c:v>
                </c:pt>
                <c:pt idx="2">
                  <c:v>26</c:v>
                </c:pt>
                <c:pt idx="3">
                  <c:v>250</c:v>
                </c:pt>
                <c:pt idx="4">
                  <c:v>77</c:v>
                </c:pt>
                <c:pt idx="5">
                  <c:v>50</c:v>
                </c:pt>
                <c:pt idx="6">
                  <c:v>367</c:v>
                </c:pt>
                <c:pt idx="7">
                  <c:v>122</c:v>
                </c:pt>
                <c:pt idx="8">
                  <c:v>74</c:v>
                </c:pt>
                <c:pt idx="9">
                  <c:v>339</c:v>
                </c:pt>
                <c:pt idx="10">
                  <c:v>136</c:v>
                </c:pt>
              </c:numCache>
            </c:numRef>
          </c:val>
        </c:ser>
        <c:ser>
          <c:idx val="3"/>
          <c:order val="3"/>
          <c:tx>
            <c:strRef>
              <c:f>label 3</c:f>
              <c:strCache>
                <c:ptCount val="1"/>
                <c:pt idx="0">
                  <c:v>TTK</c:v>
                </c:pt>
              </c:strCache>
            </c:strRef>
          </c:tx>
          <c:spPr>
            <a:solidFill>
              <a:srgbClr val="ffc000"/>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3</c:f>
              <c:numCache>
                <c:formatCode>General</c:formatCode>
                <c:ptCount val="11"/>
                <c:pt idx="0">
                  <c:v>473</c:v>
                </c:pt>
                <c:pt idx="1">
                  <c:v>166</c:v>
                </c:pt>
                <c:pt idx="2">
                  <c:v>111</c:v>
                </c:pt>
                <c:pt idx="3">
                  <c:v>703</c:v>
                </c:pt>
                <c:pt idx="4">
                  <c:v>229</c:v>
                </c:pt>
                <c:pt idx="5">
                  <c:v>160</c:v>
                </c:pt>
                <c:pt idx="6">
                  <c:v>982</c:v>
                </c:pt>
                <c:pt idx="7">
                  <c:v>368</c:v>
                </c:pt>
                <c:pt idx="8">
                  <c:v>240</c:v>
                </c:pt>
                <c:pt idx="9">
                  <c:v>718</c:v>
                </c:pt>
                <c:pt idx="10">
                  <c:v>279</c:v>
                </c:pt>
              </c:numCache>
            </c:numRef>
          </c:val>
        </c:ser>
        <c:gapWidth val="79"/>
        <c:overlap val="100"/>
        <c:axId val="65386558"/>
        <c:axId val="47073956"/>
      </c:barChart>
      <c:catAx>
        <c:axId val="65386558"/>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47073956"/>
        <c:crosses val="autoZero"/>
        <c:auto val="1"/>
        <c:lblAlgn val="ctr"/>
        <c:lblOffset val="100"/>
      </c:catAx>
      <c:valAx>
        <c:axId val="47073956"/>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65386558"/>
        <c:crosses val="autoZero"/>
      </c:valAx>
      <c:spPr>
        <a:noFill/>
        <a:ln>
          <a:noFill/>
        </a:ln>
      </c:spPr>
    </c:plotArea>
    <c:legend>
      <c:layout>
        <c:manualLayout>
          <c:xMode val="edge"/>
          <c:yMode val="edge"/>
          <c:x val="0.387625"/>
          <c:y val="0.181444444444444"/>
          <c:w val="0.22470154384649"/>
          <c:h val="0.0760084453828203"/>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Képzési szintenkénti kimutatás (2015-18)</a:t>
            </a:r>
          </a:p>
        </c:rich>
      </c:tx>
      <c:overlay val="0"/>
      <c:spPr>
        <a:noFill/>
        <a:ln>
          <a:noFill/>
        </a:ln>
      </c:spPr>
    </c:title>
    <c:autoTitleDeleted val="0"/>
    <c:plotArea>
      <c:barChart>
        <c:barDir val="col"/>
        <c:grouping val="stacked"/>
        <c:varyColors val="0"/>
        <c:ser>
          <c:idx val="0"/>
          <c:order val="0"/>
          <c:tx>
            <c:strRef>
              <c:f>label 0</c:f>
              <c:strCache>
                <c:ptCount val="1"/>
                <c:pt idx="0">
                  <c:v>alap</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7082</c:v>
                </c:pt>
                <c:pt idx="1">
                  <c:v>1821</c:v>
                </c:pt>
                <c:pt idx="2">
                  <c:v>1081</c:v>
                </c:pt>
                <c:pt idx="3">
                  <c:v>8897</c:v>
                </c:pt>
                <c:pt idx="4">
                  <c:v>2309</c:v>
                </c:pt>
                <c:pt idx="5">
                  <c:v>1394</c:v>
                </c:pt>
                <c:pt idx="6">
                  <c:v>7454</c:v>
                </c:pt>
                <c:pt idx="7">
                  <c:v>2095</c:v>
                </c:pt>
                <c:pt idx="8">
                  <c:v>1131</c:v>
                </c:pt>
                <c:pt idx="9">
                  <c:v>8113</c:v>
                </c:pt>
                <c:pt idx="10">
                  <c:v>2404</c:v>
                </c:pt>
                <c:pt idx="11">
                  <c:v>1457</c:v>
                </c:pt>
              </c:numCache>
            </c:numRef>
          </c:val>
        </c:ser>
        <c:ser>
          <c:idx val="1"/>
          <c:order val="1"/>
          <c:tx>
            <c:strRef>
              <c:f>label 1</c:f>
              <c:strCache>
                <c:ptCount val="1"/>
                <c:pt idx="0">
                  <c:v>mester</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298</c:v>
                </c:pt>
                <c:pt idx="1">
                  <c:v>106</c:v>
                </c:pt>
                <c:pt idx="2">
                  <c:v>68</c:v>
                </c:pt>
                <c:pt idx="3">
                  <c:v>355</c:v>
                </c:pt>
                <c:pt idx="4">
                  <c:v>127</c:v>
                </c:pt>
                <c:pt idx="5">
                  <c:v>83</c:v>
                </c:pt>
                <c:pt idx="6">
                  <c:v>351</c:v>
                </c:pt>
                <c:pt idx="7">
                  <c:v>144</c:v>
                </c:pt>
                <c:pt idx="8">
                  <c:v>81</c:v>
                </c:pt>
                <c:pt idx="9">
                  <c:v>403</c:v>
                </c:pt>
                <c:pt idx="10">
                  <c:v>158</c:v>
                </c:pt>
                <c:pt idx="11">
                  <c:v>300</c:v>
                </c:pt>
              </c:numCache>
            </c:numRef>
          </c:val>
        </c:ser>
        <c:ser>
          <c:idx val="2"/>
          <c:order val="2"/>
          <c:tx>
            <c:strRef>
              <c:f>label 2</c:f>
              <c:strCache>
                <c:ptCount val="1"/>
                <c:pt idx="0">
                  <c:v>osztatlan</c:v>
                </c:pt>
              </c:strCache>
            </c:strRef>
          </c:tx>
          <c:spPr>
            <a:solidFill>
              <a:srgbClr val="a5a5a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1094</c:v>
                </c:pt>
                <c:pt idx="1">
                  <c:v>342</c:v>
                </c:pt>
                <c:pt idx="2">
                  <c:v>245</c:v>
                </c:pt>
                <c:pt idx="3">
                  <c:v>1526</c:v>
                </c:pt>
                <c:pt idx="4">
                  <c:v>478</c:v>
                </c:pt>
                <c:pt idx="5">
                  <c:v>359</c:v>
                </c:pt>
                <c:pt idx="6">
                  <c:v>2252</c:v>
                </c:pt>
                <c:pt idx="7">
                  <c:v>753</c:v>
                </c:pt>
                <c:pt idx="8">
                  <c:v>520</c:v>
                </c:pt>
                <c:pt idx="9">
                  <c:v>1956</c:v>
                </c:pt>
                <c:pt idx="10">
                  <c:v>692</c:v>
                </c:pt>
                <c:pt idx="11">
                  <c:v>227</c:v>
                </c:pt>
              </c:numCache>
            </c:numRef>
          </c:val>
        </c:ser>
        <c:ser>
          <c:idx val="3"/>
          <c:order val="3"/>
          <c:tx>
            <c:strRef>
              <c:f>label 3</c:f>
              <c:strCache>
                <c:ptCount val="1"/>
                <c:pt idx="0">
                  <c:v>FOSZ</c:v>
                </c:pt>
              </c:strCache>
            </c:strRef>
          </c:tx>
          <c:spPr>
            <a:solidFill>
              <a:srgbClr val="ffc000"/>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963</c:v>
                </c:pt>
                <c:pt idx="1">
                  <c:v>203</c:v>
                </c:pt>
                <c:pt idx="2">
                  <c:v>268</c:v>
                </c:pt>
                <c:pt idx="3">
                  <c:v>1437</c:v>
                </c:pt>
                <c:pt idx="4">
                  <c:v>317</c:v>
                </c:pt>
                <c:pt idx="5">
                  <c:v>351</c:v>
                </c:pt>
                <c:pt idx="6">
                  <c:v>1497</c:v>
                </c:pt>
                <c:pt idx="7">
                  <c:v>358</c:v>
                </c:pt>
                <c:pt idx="8">
                  <c:v>425</c:v>
                </c:pt>
                <c:pt idx="9">
                  <c:v>1338</c:v>
                </c:pt>
                <c:pt idx="10">
                  <c:v>292</c:v>
                </c:pt>
                <c:pt idx="11">
                  <c:v>402</c:v>
                </c:pt>
              </c:numCache>
            </c:numRef>
          </c:val>
        </c:ser>
        <c:gapWidth val="79"/>
        <c:overlap val="100"/>
        <c:axId val="56609248"/>
        <c:axId val="96517470"/>
      </c:barChart>
      <c:catAx>
        <c:axId val="56609248"/>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96517470"/>
        <c:crosses val="autoZero"/>
        <c:auto val="1"/>
        <c:lblAlgn val="ctr"/>
        <c:lblOffset val="100"/>
      </c:catAx>
      <c:valAx>
        <c:axId val="96517470"/>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6609248"/>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17" strike="noStrike">
                <a:solidFill>
                  <a:srgbClr val="595959"/>
                </a:solidFill>
                <a:latin typeface="Calibri"/>
              </a:defRPr>
            </a:pPr>
            <a:r>
              <a:rPr b="1" sz="1400" spc="117" strike="noStrike">
                <a:solidFill>
                  <a:srgbClr val="595959"/>
                </a:solidFill>
                <a:latin typeface="Calibri"/>
              </a:rPr>
              <a:t>AVK képzési szintenkénti jelentkezési adatai 
(2015-18)</a:t>
            </a:r>
          </a:p>
        </c:rich>
      </c:tx>
      <c:overlay val="0"/>
      <c:spPr>
        <a:noFill/>
        <a:ln>
          <a:noFill/>
        </a:ln>
      </c:spPr>
    </c:title>
    <c:autoTitleDeleted val="0"/>
    <c:plotArea>
      <c:barChart>
        <c:barDir val="col"/>
        <c:grouping val="clustered"/>
        <c:varyColors val="0"/>
        <c:ser>
          <c:idx val="0"/>
          <c:order val="0"/>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1"/>
          <c:order val="1"/>
          <c:tx>
            <c:strRef>
              <c:f>label 0</c:f>
              <c:strCache>
                <c:ptCount val="1"/>
                <c:pt idx="0">
                  <c:v>alap</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570</c:v>
                </c:pt>
                <c:pt idx="1">
                  <c:v>130</c:v>
                </c:pt>
                <c:pt idx="2">
                  <c:v>62</c:v>
                </c:pt>
                <c:pt idx="3">
                  <c:v>605</c:v>
                </c:pt>
                <c:pt idx="4">
                  <c:v>165</c:v>
                </c:pt>
                <c:pt idx="5">
                  <c:v>106</c:v>
                </c:pt>
                <c:pt idx="6">
                  <c:v>469</c:v>
                </c:pt>
                <c:pt idx="7">
                  <c:v>125</c:v>
                </c:pt>
                <c:pt idx="8">
                  <c:v>64</c:v>
                </c:pt>
                <c:pt idx="9">
                  <c:v>466</c:v>
                </c:pt>
                <c:pt idx="10">
                  <c:v>129</c:v>
                </c:pt>
                <c:pt idx="11">
                  <c:v>80</c:v>
                </c:pt>
              </c:numCache>
            </c:numRef>
          </c:val>
        </c:ser>
        <c:ser>
          <c:idx val="2"/>
          <c:order val="2"/>
          <c:tx>
            <c:strRef>
              <c:f>label 1</c:f>
              <c:strCache>
                <c:ptCount val="1"/>
                <c:pt idx="0">
                  <c:v>mester</c:v>
                </c:pt>
              </c:strCache>
            </c:strRef>
          </c:tx>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24</c:v>
                </c:pt>
                <c:pt idx="1">
                  <c:v>10</c:v>
                </c:pt>
                <c:pt idx="2">
                  <c:v>4</c:v>
                </c:pt>
                <c:pt idx="3">
                  <c:v>10</c:v>
                </c:pt>
                <c:pt idx="4">
                  <c:v>2</c:v>
                </c:pt>
                <c:pt idx="5">
                  <c:v>0</c:v>
                </c:pt>
                <c:pt idx="6">
                  <c:v>19</c:v>
                </c:pt>
                <c:pt idx="7">
                  <c:v>5</c:v>
                </c:pt>
                <c:pt idx="8">
                  <c:v>4</c:v>
                </c:pt>
                <c:pt idx="9">
                  <c:v>13</c:v>
                </c:pt>
                <c:pt idx="10">
                  <c:v>5</c:v>
                </c:pt>
                <c:pt idx="11">
                  <c:v>4</c:v>
                </c:pt>
              </c:numCache>
            </c:numRef>
          </c:val>
        </c:ser>
        <c:ser>
          <c:idx val="3"/>
          <c:order val="3"/>
          <c:tx>
            <c:strRef>
              <c:f>label 2</c:f>
              <c:strCache>
                <c:ptCount val="1"/>
                <c:pt idx="0">
                  <c:v>FOSZ</c:v>
                </c:pt>
              </c:strCache>
            </c:strRef>
          </c:tx>
          <c:spPr>
            <a:solidFill>
              <a:srgbClr val="ffc0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92</c:v>
                </c:pt>
                <c:pt idx="1">
                  <c:v>20</c:v>
                </c:pt>
                <c:pt idx="2">
                  <c:v>24</c:v>
                </c:pt>
                <c:pt idx="3">
                  <c:v>190</c:v>
                </c:pt>
                <c:pt idx="4">
                  <c:v>42</c:v>
                </c:pt>
                <c:pt idx="5">
                  <c:v>34</c:v>
                </c:pt>
                <c:pt idx="6">
                  <c:v>148</c:v>
                </c:pt>
                <c:pt idx="7">
                  <c:v>50</c:v>
                </c:pt>
                <c:pt idx="8">
                  <c:v>41</c:v>
                </c:pt>
                <c:pt idx="9">
                  <c:v>155</c:v>
                </c:pt>
                <c:pt idx="10">
                  <c:v>33</c:v>
                </c:pt>
                <c:pt idx="11">
                  <c:v>50</c:v>
                </c:pt>
              </c:numCache>
            </c:numRef>
          </c:val>
        </c:ser>
        <c:gapWidth val="444"/>
        <c:overlap val="-90"/>
        <c:axId val="89081252"/>
        <c:axId val="99741767"/>
      </c:barChart>
      <c:catAx>
        <c:axId val="89081252"/>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99741767"/>
        <c:crosses val="autoZero"/>
        <c:auto val="1"/>
        <c:lblAlgn val="ctr"/>
        <c:lblOffset val="100"/>
      </c:catAx>
      <c:valAx>
        <c:axId val="99741767"/>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89081252"/>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595959"/>
                </a:solidFill>
                <a:latin typeface="Calibri"/>
              </a:defRPr>
            </a:pPr>
            <a:r>
              <a:rPr b="1" sz="1400" spc="-1" strike="noStrike">
                <a:solidFill>
                  <a:srgbClr val="595959"/>
                </a:solidFill>
                <a:latin typeface="Calibri"/>
              </a:rPr>
              <a:t>A 2018-ban jelentkezők képzési szint választása</a:t>
            </a:r>
          </a:p>
        </c:rich>
      </c:tx>
      <c:overlay val="0"/>
      <c:spPr>
        <a:noFill/>
        <a:ln>
          <a:noFill/>
        </a:ln>
      </c:spPr>
    </c:title>
    <c:autoTitleDeleted val="0"/>
    <c:plotArea>
      <c:pie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General" sourceLinked="1"/>
            <c:dLbl>
              <c:idx val="0"/>
              <c:numFmt formatCode="General" sourceLinked="1"/>
              <c:txPr>
                <a:bodyPr/>
                <a:lstStyle/>
                <a:p>
                  <a:pPr>
                    <a:defRPr b="0" sz="1000" spc="-1" strike="noStrike">
                      <a:solidFill>
                        <a:srgbClr val="000000"/>
                      </a:solidFill>
                      <a:latin typeface="Calibri"/>
                    </a:defRPr>
                  </a:pPr>
                </a:p>
              </c:txPr>
              <c:dLblPos val="outEnd"/>
              <c:showLegendKey val="0"/>
              <c:showVal val="0"/>
              <c:showCatName val="1"/>
              <c:showSerName val="0"/>
              <c:showPercent val="1"/>
            </c:dLbl>
            <c:dLbl>
              <c:idx val="1"/>
              <c:numFmt formatCode="General" sourceLinked="1"/>
              <c:txPr>
                <a:bodyPr/>
                <a:lstStyle/>
                <a:p>
                  <a:pPr>
                    <a:defRPr b="0" sz="1000" spc="-1" strike="noStrike">
                      <a:solidFill>
                        <a:srgbClr val="000000"/>
                      </a:solidFill>
                      <a:latin typeface="Calibri"/>
                    </a:defRPr>
                  </a:pPr>
                </a:p>
              </c:txPr>
              <c:dLblPos val="outEnd"/>
              <c:showLegendKey val="0"/>
              <c:showVal val="0"/>
              <c:showCatName val="1"/>
              <c:showSerName val="0"/>
              <c:showPercent val="1"/>
            </c:dLbl>
            <c:dLbl>
              <c:idx val="2"/>
              <c:numFmt formatCode="General" sourceLinked="1"/>
              <c:txPr>
                <a:bodyPr/>
                <a:lstStyle/>
                <a:p>
                  <a:pPr>
                    <a:defRPr b="0" sz="1000" spc="-1" strike="noStrike">
                      <a:solidFill>
                        <a:srgbClr val="000000"/>
                      </a:solidFill>
                      <a:latin typeface="Calibri"/>
                    </a:defRPr>
                  </a:pPr>
                </a:p>
              </c:txPr>
              <c:dLblPos val="outEnd"/>
              <c:showLegendKey val="0"/>
              <c:showVal val="0"/>
              <c:showCatName val="1"/>
              <c:showSerName val="0"/>
              <c:showPercent val="1"/>
            </c:dLbl>
            <c:dLbl>
              <c:idx val="3"/>
              <c:numFmt formatCode="General" sourceLinked="1"/>
              <c:txPr>
                <a:bodyPr/>
                <a:lstStyle/>
                <a:p>
                  <a:pPr>
                    <a:defRPr b="0" sz="1000" spc="-1" strike="noStrike">
                      <a:solidFill>
                        <a:srgbClr val="000000"/>
                      </a:solidFill>
                      <a:latin typeface="Calibri"/>
                    </a:defRPr>
                  </a:pPr>
                </a:p>
              </c:txPr>
              <c:dLblPos val="outEnd"/>
              <c:showLegendKey val="0"/>
              <c:showVal val="0"/>
              <c:showCatName val="1"/>
              <c:showSerName val="0"/>
              <c:showPercent val="1"/>
            </c:dLbl>
            <c:txPr>
              <a:bodyPr/>
              <a:lstStyle/>
              <a:p>
                <a:pPr>
                  <a:defRPr b="0" sz="1000" spc="-1" strike="noStrike">
                    <a:solidFill>
                      <a:srgbClr val="000000"/>
                    </a:solidFill>
                    <a:latin typeface="Calibri"/>
                  </a:defRPr>
                </a:pPr>
              </a:p>
            </c:txPr>
            <c:dLblPos val="outEnd"/>
            <c:showLegendKey val="0"/>
            <c:showVal val="0"/>
            <c:showCatName val="1"/>
            <c:showSerName val="0"/>
            <c:showPercent val="1"/>
            <c:showLeaderLines val="0"/>
          </c:dLbls>
          <c:cat>
            <c:strRef>
              <c:f>categories</c:f>
              <c:strCache>
                <c:ptCount val="4"/>
                <c:pt idx="0">
                  <c:v>alap</c:v>
                </c:pt>
                <c:pt idx="1">
                  <c:v>mester</c:v>
                </c:pt>
                <c:pt idx="2">
                  <c:v>osztatlan</c:v>
                </c:pt>
                <c:pt idx="3">
                  <c:v>FOSZ</c:v>
                </c:pt>
              </c:strCache>
            </c:strRef>
          </c:cat>
          <c:val>
            <c:numRef>
              <c:f>0</c:f>
              <c:numCache>
                <c:formatCode>General</c:formatCode>
                <c:ptCount val="4"/>
                <c:pt idx="0">
                  <c:v>8113</c:v>
                </c:pt>
                <c:pt idx="1">
                  <c:v>403</c:v>
                </c:pt>
                <c:pt idx="2">
                  <c:v>1956</c:v>
                </c:pt>
                <c:pt idx="3">
                  <c:v>1338</c:v>
                </c:pt>
              </c:numCache>
            </c:numRef>
          </c:val>
        </c:ser>
        <c:firstSliceAng val="0"/>
      </c:pieChart>
      <c:spPr>
        <a:noFill/>
        <a:ln>
          <a:noFill/>
        </a:ln>
      </c:spPr>
    </c:plotArea>
    <c:plotVisOnly val="1"/>
    <c:dispBlanksAs val="gap"/>
  </c:chart>
  <c:spPr>
    <a:solidFill>
      <a:srgbClr val="ffffff"/>
    </a:solidFill>
    <a:ln w="9360">
      <a:solidFill>
        <a:srgbClr val="d9d9d9"/>
      </a:solidFill>
      <a:round/>
    </a:ln>
  </c:spPr>
</c:chartSpace>
</file>

<file path=word/charts/chart3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49" strike="noStrike">
                <a:solidFill>
                  <a:srgbClr val="595959"/>
                </a:solidFill>
                <a:latin typeface="Calibri"/>
              </a:defRPr>
            </a:pPr>
            <a:r>
              <a:rPr b="1" sz="1400" spc="49" strike="noStrike">
                <a:solidFill>
                  <a:srgbClr val="595959"/>
                </a:solidFill>
                <a:latin typeface="Calibri"/>
              </a:rPr>
              <a:t>2018 képzési szint felvettek</a:t>
            </a:r>
          </a:p>
        </c:rich>
      </c:tx>
      <c:overlay val="0"/>
      <c:spPr>
        <a:noFill/>
        <a:ln>
          <a:noFill/>
        </a:ln>
      </c:spPr>
    </c:title>
    <c:autoTitleDeleted val="0"/>
    <c:plotArea>
      <c:pieChart>
        <c:varyColors val="1"/>
        <c:ser>
          <c:idx val="0"/>
          <c:order val="0"/>
          <c:tx>
            <c:strRef>
              <c:f>label 0</c:f>
              <c:strCache>
                <c:ptCount val="1"/>
                <c:pt idx="0">
                  <c:v/>
                </c:pt>
              </c:strCache>
            </c:strRef>
          </c:tx>
          <c:spPr>
            <a:solidFill>
              <a:srgbClr val="5b9bd5"/>
            </a:solidFill>
            <a:ln>
              <a:noFill/>
            </a:ln>
          </c:spPr>
          <c:explosion val="0"/>
          <c:dPt>
            <c:idx val="0"/>
            <c:spPr>
              <a:solidFill>
                <a:srgbClr val="5b9bd5"/>
              </a:solidFill>
              <a:ln>
                <a:noFill/>
              </a:ln>
            </c:spPr>
          </c:dPt>
          <c:dPt>
            <c:idx val="1"/>
            <c:spPr>
              <a:solidFill>
                <a:srgbClr val="ed7d31"/>
              </a:solidFill>
              <a:ln>
                <a:noFill/>
              </a:ln>
            </c:spPr>
          </c:dPt>
          <c:dPt>
            <c:idx val="2"/>
            <c:spPr>
              <a:solidFill>
                <a:srgbClr val="a5a5a5"/>
              </a:solidFill>
              <a:ln>
                <a:noFill/>
              </a:ln>
            </c:spPr>
          </c:dPt>
          <c:dPt>
            <c:idx val="3"/>
            <c:spPr>
              <a:solidFill>
                <a:srgbClr val="ffc000"/>
              </a:solidFill>
              <a:ln>
                <a:noFill/>
              </a:ln>
            </c:spPr>
          </c:dPt>
          <c:dLbls>
            <c:numFmt formatCode="General" sourceLinked="1"/>
            <c:dLbl>
              <c:idx val="0"/>
              <c:numFmt formatCode="General" sourceLinked="1"/>
              <c:txPr>
                <a:bodyPr/>
                <a:lstStyle/>
                <a:p>
                  <a:pPr>
                    <a:defRPr b="1" sz="900" spc="-1" strike="noStrike">
                      <a:solidFill>
                        <a:srgbClr val="ffffff"/>
                      </a:solidFill>
                      <a:latin typeface="Calibri"/>
                    </a:defRPr>
                  </a:pPr>
                </a:p>
              </c:txPr>
              <c:dLblPos val="inEnd"/>
              <c:showLegendKey val="0"/>
              <c:showVal val="0"/>
              <c:showCatName val="1"/>
              <c:showSerName val="0"/>
              <c:showPercent val="1"/>
            </c:dLbl>
            <c:dLbl>
              <c:idx val="1"/>
              <c:numFmt formatCode="General" sourceLinked="1"/>
              <c:txPr>
                <a:bodyPr/>
                <a:lstStyle/>
                <a:p>
                  <a:pPr>
                    <a:defRPr b="1" sz="900" spc="-1" strike="noStrike">
                      <a:solidFill>
                        <a:srgbClr val="ffffff"/>
                      </a:solidFill>
                      <a:latin typeface="Calibri"/>
                    </a:defRPr>
                  </a:pPr>
                </a:p>
              </c:txPr>
              <c:dLblPos val="inEnd"/>
              <c:showLegendKey val="0"/>
              <c:showVal val="0"/>
              <c:showCatName val="1"/>
              <c:showSerName val="0"/>
              <c:showPercent val="1"/>
            </c:dLbl>
            <c:dLbl>
              <c:idx val="2"/>
              <c:numFmt formatCode="General" sourceLinked="1"/>
              <c:txPr>
                <a:bodyPr/>
                <a:lstStyle/>
                <a:p>
                  <a:pPr>
                    <a:defRPr b="1" sz="900" spc="-1" strike="noStrike">
                      <a:solidFill>
                        <a:srgbClr val="ffffff"/>
                      </a:solidFill>
                      <a:latin typeface="Calibri"/>
                    </a:defRPr>
                  </a:pPr>
                </a:p>
              </c:txPr>
              <c:dLblPos val="inEnd"/>
              <c:showLegendKey val="0"/>
              <c:showVal val="0"/>
              <c:showCatName val="1"/>
              <c:showSerName val="0"/>
              <c:showPercent val="1"/>
            </c:dLbl>
            <c:dLbl>
              <c:idx val="3"/>
              <c:numFmt formatCode="General" sourceLinked="1"/>
              <c:txPr>
                <a:bodyPr/>
                <a:lstStyle/>
                <a:p>
                  <a:pPr>
                    <a:defRPr b="1" sz="900" spc="-1" strike="noStrike">
                      <a:solidFill>
                        <a:srgbClr val="ffffff"/>
                      </a:solidFill>
                      <a:latin typeface="Calibri"/>
                    </a:defRPr>
                  </a:pPr>
                </a:p>
              </c:txPr>
              <c:dLblPos val="inEnd"/>
              <c:showLegendKey val="0"/>
              <c:showVal val="0"/>
              <c:showCatName val="1"/>
              <c:showSerName val="0"/>
              <c:showPercent val="1"/>
            </c:dLbl>
            <c:txPr>
              <a:bodyPr/>
              <a:lstStyle/>
              <a:p>
                <a:pPr>
                  <a:defRPr b="1" sz="900" spc="-1" strike="noStrike">
                    <a:solidFill>
                      <a:srgbClr val="ffffff"/>
                    </a:solidFill>
                    <a:latin typeface="Calibri"/>
                  </a:defRPr>
                </a:pPr>
              </a:p>
            </c:txPr>
            <c:dLblPos val="inEnd"/>
            <c:showLegendKey val="0"/>
            <c:showVal val="0"/>
            <c:showCatName val="1"/>
            <c:showSerName val="0"/>
            <c:showPercent val="1"/>
            <c:showLeaderLines val="0"/>
          </c:dLbls>
          <c:cat>
            <c:strRef>
              <c:f>categories</c:f>
              <c:strCache>
                <c:ptCount val="4"/>
                <c:pt idx="0">
                  <c:v>alap</c:v>
                </c:pt>
                <c:pt idx="1">
                  <c:v>mester</c:v>
                </c:pt>
                <c:pt idx="2">
                  <c:v>osztatlan</c:v>
                </c:pt>
                <c:pt idx="3">
                  <c:v>FOSZ</c:v>
                </c:pt>
              </c:strCache>
            </c:strRef>
          </c:cat>
          <c:val>
            <c:numRef>
              <c:f>0</c:f>
              <c:numCache>
                <c:formatCode>General</c:formatCode>
                <c:ptCount val="4"/>
                <c:pt idx="0">
                  <c:v>1457</c:v>
                </c:pt>
                <c:pt idx="1">
                  <c:v>300</c:v>
                </c:pt>
                <c:pt idx="2">
                  <c:v>227</c:v>
                </c:pt>
                <c:pt idx="3">
                  <c:v>402</c:v>
                </c:pt>
              </c:numCache>
            </c:numRef>
          </c:val>
        </c:ser>
        <c:firstSliceAng val="0"/>
      </c:pieChart>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Alapképzés karonként</a:t>
            </a:r>
          </a:p>
        </c:rich>
      </c:tx>
      <c:overlay val="0"/>
      <c:spPr>
        <a:noFill/>
        <a:ln>
          <a:noFill/>
        </a:ln>
      </c:spPr>
    </c:title>
    <c:autoTitleDeleted val="0"/>
    <c:plotArea>
      <c:barChart>
        <c:barDir val="bar"/>
        <c:grouping val="percentStacked"/>
        <c:varyColors val="0"/>
        <c:ser>
          <c:idx val="0"/>
          <c:order val="0"/>
          <c:tx>
            <c:strRef>
              <c:f>label 0</c:f>
              <c:strCache>
                <c:ptCount val="1"/>
                <c:pt idx="0">
                  <c:v>AVK</c:v>
                </c:pt>
              </c:strCache>
            </c:strRef>
          </c:tx>
          <c:spPr>
            <a:solidFill>
              <a:srgbClr val="5b9bd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570</c:v>
                </c:pt>
                <c:pt idx="1">
                  <c:v>130</c:v>
                </c:pt>
                <c:pt idx="2">
                  <c:v>62</c:v>
                </c:pt>
                <c:pt idx="3">
                  <c:v>605</c:v>
                </c:pt>
                <c:pt idx="4">
                  <c:v>165</c:v>
                </c:pt>
                <c:pt idx="5">
                  <c:v>106</c:v>
                </c:pt>
                <c:pt idx="6">
                  <c:v>469</c:v>
                </c:pt>
                <c:pt idx="7">
                  <c:v>125</c:v>
                </c:pt>
                <c:pt idx="8">
                  <c:v>64</c:v>
                </c:pt>
                <c:pt idx="9">
                  <c:v>466</c:v>
                </c:pt>
                <c:pt idx="10">
                  <c:v>129</c:v>
                </c:pt>
                <c:pt idx="11">
                  <c:v>80</c:v>
                </c:pt>
              </c:numCache>
            </c:numRef>
          </c:val>
        </c:ser>
        <c:ser>
          <c:idx val="1"/>
          <c:order val="1"/>
          <c:tx>
            <c:strRef>
              <c:f>label 1</c:f>
              <c:strCache>
                <c:ptCount val="1"/>
                <c:pt idx="0">
                  <c:v>BTK</c:v>
                </c:pt>
              </c:strCache>
            </c:strRef>
          </c:tx>
          <c:spPr>
            <a:solidFill>
              <a:srgbClr val="ed7d31"/>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879</c:v>
                </c:pt>
                <c:pt idx="1">
                  <c:v>224</c:v>
                </c:pt>
                <c:pt idx="2">
                  <c:v>193</c:v>
                </c:pt>
                <c:pt idx="3">
                  <c:v>930</c:v>
                </c:pt>
                <c:pt idx="4">
                  <c:v>251</c:v>
                </c:pt>
                <c:pt idx="5">
                  <c:v>170</c:v>
                </c:pt>
                <c:pt idx="6">
                  <c:v>859</c:v>
                </c:pt>
                <c:pt idx="7">
                  <c:v>253</c:v>
                </c:pt>
                <c:pt idx="8">
                  <c:v>167</c:v>
                </c:pt>
                <c:pt idx="9">
                  <c:v>912</c:v>
                </c:pt>
                <c:pt idx="10">
                  <c:v>273</c:v>
                </c:pt>
                <c:pt idx="11">
                  <c:v>210</c:v>
                </c:pt>
              </c:numCache>
            </c:numRef>
          </c:val>
        </c:ser>
        <c:ser>
          <c:idx val="2"/>
          <c:order val="2"/>
          <c:tx>
            <c:strRef>
              <c:f>label 2</c:f>
              <c:strCache>
                <c:ptCount val="1"/>
                <c:pt idx="0">
                  <c:v>GTK</c:v>
                </c:pt>
              </c:strCache>
            </c:strRef>
          </c:tx>
          <c:spPr>
            <a:solidFill>
              <a:srgbClr val="a5a5a5"/>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1754</c:v>
                </c:pt>
                <c:pt idx="1">
                  <c:v>399</c:v>
                </c:pt>
                <c:pt idx="2">
                  <c:v>214</c:v>
                </c:pt>
                <c:pt idx="3">
                  <c:v>2103</c:v>
                </c:pt>
                <c:pt idx="4">
                  <c:v>519</c:v>
                </c:pt>
                <c:pt idx="5">
                  <c:v>233</c:v>
                </c:pt>
                <c:pt idx="6">
                  <c:v>1590</c:v>
                </c:pt>
                <c:pt idx="7">
                  <c:v>406</c:v>
                </c:pt>
                <c:pt idx="8">
                  <c:v>160</c:v>
                </c:pt>
                <c:pt idx="9">
                  <c:v>1643</c:v>
                </c:pt>
                <c:pt idx="10">
                  <c:v>453</c:v>
                </c:pt>
                <c:pt idx="11">
                  <c:v>239</c:v>
                </c:pt>
              </c:numCache>
            </c:numRef>
          </c:val>
        </c:ser>
        <c:ser>
          <c:idx val="3"/>
          <c:order val="3"/>
          <c:tx>
            <c:strRef>
              <c:f>label 3</c:f>
              <c:strCache>
                <c:ptCount val="1"/>
                <c:pt idx="0">
                  <c:v>PK</c:v>
                </c:pt>
              </c:strCache>
            </c:strRef>
          </c:tx>
          <c:spPr>
            <a:solidFill>
              <a:srgbClr val="ffc000"/>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2120</c:v>
                </c:pt>
                <c:pt idx="1">
                  <c:v>660</c:v>
                </c:pt>
                <c:pt idx="2">
                  <c:v>288</c:v>
                </c:pt>
                <c:pt idx="3">
                  <c:v>3204</c:v>
                </c:pt>
                <c:pt idx="4">
                  <c:v>865</c:v>
                </c:pt>
                <c:pt idx="5">
                  <c:v>498</c:v>
                </c:pt>
                <c:pt idx="6">
                  <c:v>2873</c:v>
                </c:pt>
                <c:pt idx="7">
                  <c:v>891</c:v>
                </c:pt>
                <c:pt idx="8">
                  <c:v>434</c:v>
                </c:pt>
                <c:pt idx="9">
                  <c:v>3485</c:v>
                </c:pt>
                <c:pt idx="10">
                  <c:v>1119</c:v>
                </c:pt>
                <c:pt idx="11">
                  <c:v>592</c:v>
                </c:pt>
              </c:numCache>
            </c:numRef>
          </c:val>
        </c:ser>
        <c:ser>
          <c:idx val="4"/>
          <c:order val="4"/>
          <c:tx>
            <c:strRef>
              <c:f>label 4</c:f>
              <c:strCache>
                <c:ptCount val="1"/>
                <c:pt idx="0">
                  <c:v>TTK</c:v>
                </c:pt>
              </c:strCache>
            </c:strRef>
          </c:tx>
          <c:spPr>
            <a:solidFill>
              <a:srgbClr val="4472c4"/>
            </a:solidFill>
            <a:ln>
              <a:noFill/>
            </a:ln>
          </c:spPr>
          <c:invertIfNegative val="0"/>
          <c:dLbls>
            <c:numFmt formatCode="General" sourceLinked="1"/>
            <c:txPr>
              <a:bodyPr/>
              <a:lstStyle/>
              <a:p>
                <a:pPr>
                  <a:defRPr b="0" sz="900" spc="-1" strike="noStrike">
                    <a:solidFill>
                      <a:srgbClr val="ffffff"/>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4</c:f>
              <c:numCache>
                <c:formatCode>General</c:formatCode>
                <c:ptCount val="12"/>
                <c:pt idx="0">
                  <c:v>1759</c:v>
                </c:pt>
                <c:pt idx="1">
                  <c:v>408</c:v>
                </c:pt>
                <c:pt idx="2">
                  <c:v>324</c:v>
                </c:pt>
                <c:pt idx="3">
                  <c:v>2055</c:v>
                </c:pt>
                <c:pt idx="4">
                  <c:v>509</c:v>
                </c:pt>
                <c:pt idx="5">
                  <c:v>387</c:v>
                </c:pt>
                <c:pt idx="6">
                  <c:v>1663</c:v>
                </c:pt>
                <c:pt idx="7">
                  <c:v>420</c:v>
                </c:pt>
                <c:pt idx="8">
                  <c:v>306</c:v>
                </c:pt>
                <c:pt idx="9">
                  <c:v>1607</c:v>
                </c:pt>
                <c:pt idx="10">
                  <c:v>430</c:v>
                </c:pt>
                <c:pt idx="11">
                  <c:v>336</c:v>
                </c:pt>
              </c:numCache>
            </c:numRef>
          </c:val>
        </c:ser>
        <c:gapWidth val="79"/>
        <c:overlap val="100"/>
        <c:axId val="64100998"/>
        <c:axId val="43303729"/>
      </c:barChart>
      <c:catAx>
        <c:axId val="64100998"/>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43303729"/>
        <c:crosses val="autoZero"/>
        <c:auto val="1"/>
        <c:lblAlgn val="ctr"/>
        <c:lblOffset val="100"/>
      </c:catAx>
      <c:valAx>
        <c:axId val="43303729"/>
        <c:scaling>
          <c:orientation val="minMax"/>
        </c:scaling>
        <c:delete val="1"/>
        <c:axPos val="l"/>
        <c:numFmt formatCode="0%"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64100998"/>
        <c:crosses val="autoZero"/>
      </c:valAx>
      <c:spPr>
        <a:noFill/>
        <a:ln>
          <a:noFill/>
        </a:ln>
      </c:spPr>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800" spc="-1" strike="noStrike">
                <a:solidFill>
                  <a:srgbClr val="595959"/>
                </a:solidFill>
                <a:latin typeface="Calibri"/>
              </a:defRPr>
            </a:pPr>
            <a:r>
              <a:rPr b="0" sz="1800" spc="-1" strike="noStrike">
                <a:solidFill>
                  <a:srgbClr val="595959"/>
                </a:solidFill>
                <a:latin typeface="Calibri"/>
              </a:rPr>
              <a:t>Felvettek száma nappali tagozaton
karonként, képzési szintenként (2018)</a:t>
            </a:r>
          </a:p>
        </c:rich>
      </c:tx>
      <c:overlay val="0"/>
      <c:spPr>
        <a:noFill/>
        <a:ln>
          <a:noFill/>
        </a:ln>
      </c:spPr>
    </c:title>
    <c:autoTitleDeleted val="0"/>
    <c:plotArea>
      <c:barChart>
        <c:barDir val="col"/>
        <c:grouping val="clustered"/>
        <c:varyColors val="0"/>
        <c:ser>
          <c:idx val="0"/>
          <c:order val="0"/>
          <c:tx>
            <c:strRef>
              <c:f>label 0</c:f>
              <c:strCache>
                <c:ptCount val="1"/>
                <c:pt idx="0">
                  <c:v>Alap</c:v>
                </c:pt>
              </c:strCache>
            </c:strRef>
          </c:tx>
          <c:spPr>
            <a:solidFill>
              <a:srgbClr val="5b9bd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0</c:f>
              <c:numCache>
                <c:formatCode>General</c:formatCode>
                <c:ptCount val="5"/>
                <c:pt idx="0">
                  <c:v>32</c:v>
                </c:pt>
                <c:pt idx="1">
                  <c:v>153</c:v>
                </c:pt>
                <c:pt idx="2">
                  <c:v>127</c:v>
                </c:pt>
                <c:pt idx="3">
                  <c:v>200</c:v>
                </c:pt>
                <c:pt idx="4">
                  <c:v>179</c:v>
                </c:pt>
              </c:numCache>
            </c:numRef>
          </c:val>
        </c:ser>
        <c:ser>
          <c:idx val="1"/>
          <c:order val="1"/>
          <c:tx>
            <c:strRef>
              <c:f>label 1</c:f>
              <c:strCache>
                <c:ptCount val="1"/>
                <c:pt idx="0">
                  <c:v>Osztatlan</c:v>
                </c:pt>
              </c:strCache>
            </c:strRef>
          </c:tx>
          <c:spPr>
            <a:solidFill>
              <a:srgbClr val="ed7d31"/>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1</c:f>
              <c:numCache>
                <c:formatCode>General</c:formatCode>
                <c:ptCount val="5"/>
                <c:pt idx="0">
                  <c:v>0</c:v>
                </c:pt>
                <c:pt idx="1">
                  <c:v>59</c:v>
                </c:pt>
                <c:pt idx="2">
                  <c:v>0</c:v>
                </c:pt>
                <c:pt idx="3">
                  <c:v>30</c:v>
                </c:pt>
                <c:pt idx="4">
                  <c:v>22</c:v>
                </c:pt>
              </c:numCache>
            </c:numRef>
          </c:val>
        </c:ser>
        <c:ser>
          <c:idx val="2"/>
          <c:order val="2"/>
          <c:tx>
            <c:strRef>
              <c:f>label 2</c:f>
              <c:strCache>
                <c:ptCount val="1"/>
                <c:pt idx="0">
                  <c:v>FOSZ</c:v>
                </c:pt>
              </c:strCache>
            </c:strRef>
          </c:tx>
          <c:spPr>
            <a:solidFill>
              <a:srgbClr val="a5a5a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2</c:f>
              <c:numCache>
                <c:formatCode>General</c:formatCode>
                <c:ptCount val="5"/>
                <c:pt idx="0">
                  <c:v>18</c:v>
                </c:pt>
                <c:pt idx="1">
                  <c:v>29</c:v>
                </c:pt>
                <c:pt idx="2">
                  <c:v>154</c:v>
                </c:pt>
                <c:pt idx="3">
                  <c:v>0</c:v>
                </c:pt>
                <c:pt idx="4">
                  <c:v>45</c:v>
                </c:pt>
              </c:numCache>
            </c:numRef>
          </c:val>
        </c:ser>
        <c:ser>
          <c:idx val="3"/>
          <c:order val="3"/>
          <c:tx>
            <c:strRef>
              <c:f>label 3</c:f>
              <c:strCache>
                <c:ptCount val="1"/>
                <c:pt idx="0">
                  <c:v>Mester</c:v>
                </c:pt>
              </c:strCache>
            </c:strRef>
          </c:tx>
          <c:spPr>
            <a:solidFill>
              <a:srgbClr val="ffc000"/>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3</c:f>
              <c:numCache>
                <c:formatCode>General</c:formatCode>
                <c:ptCount val="5"/>
                <c:pt idx="0">
                  <c:v/>
                </c:pt>
                <c:pt idx="1">
                  <c:v>18</c:v>
                </c:pt>
                <c:pt idx="2">
                  <c:v>2</c:v>
                </c:pt>
                <c:pt idx="3">
                  <c:v>4</c:v>
                </c:pt>
                <c:pt idx="4">
                  <c:v>4</c:v>
                </c:pt>
              </c:numCache>
            </c:numRef>
          </c:val>
        </c:ser>
        <c:gapWidth val="219"/>
        <c:overlap val="-27"/>
        <c:axId val="86647322"/>
        <c:axId val="3312453"/>
      </c:barChart>
      <c:lineChart>
        <c:grouping val="standard"/>
        <c:varyColors val="0"/>
        <c:ser>
          <c:idx val="4"/>
          <c:order val="4"/>
          <c:tx>
            <c:strRef>
              <c:f>label 4</c:f>
              <c:strCache>
                <c:ptCount val="1"/>
                <c:pt idx="0">
                  <c:v>Össz</c:v>
                </c:pt>
              </c:strCache>
            </c:strRef>
          </c:tx>
          <c:spPr>
            <a:solidFill>
              <a:srgbClr val="4472c4"/>
            </a:solidFill>
            <a:ln w="28440">
              <a:solidFill>
                <a:srgbClr val="4472c4"/>
              </a:solidFill>
              <a:round/>
            </a:ln>
          </c:spPr>
          <c:marker>
            <c:symbol val="none"/>
          </c:marker>
          <c:dLbls>
            <c:numFmt formatCode="General" sourceLinked="1"/>
            <c:txPr>
              <a:bodyPr/>
              <a:lstStyle/>
              <a:p>
                <a:pPr>
                  <a:defRPr b="1" sz="900" spc="-1" strike="noStrike">
                    <a:solidFill>
                      <a:srgbClr val="404040"/>
                    </a:solidFill>
                    <a:latin typeface="Calibri"/>
                  </a:defRPr>
                </a:pPr>
              </a:p>
            </c:txPr>
            <c:dLblPos val="r"/>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4</c:f>
              <c:numCache>
                <c:formatCode>General</c:formatCode>
                <c:ptCount val="5"/>
                <c:pt idx="0">
                  <c:v>50</c:v>
                </c:pt>
                <c:pt idx="1">
                  <c:v>259</c:v>
                </c:pt>
                <c:pt idx="2">
                  <c:v>283</c:v>
                </c:pt>
                <c:pt idx="3">
                  <c:v>234</c:v>
                </c:pt>
                <c:pt idx="4">
                  <c:v>250</c:v>
                </c:pt>
              </c:numCache>
            </c:numRef>
          </c:val>
          <c:smooth val="0"/>
        </c:ser>
        <c:hiLowLines>
          <c:spPr>
            <a:ln>
              <a:noFill/>
            </a:ln>
          </c:spPr>
        </c:hiLowLines>
        <c:marker val="0"/>
        <c:axId val="86647322"/>
        <c:axId val="3312453"/>
      </c:lineChart>
      <c:catAx>
        <c:axId val="86647322"/>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3312453"/>
        <c:crosses val="autoZero"/>
        <c:auto val="1"/>
        <c:lblAlgn val="ctr"/>
        <c:lblOffset val="100"/>
      </c:catAx>
      <c:valAx>
        <c:axId val="331245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6647322"/>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800" spc="-1" strike="noStrike">
                <a:solidFill>
                  <a:srgbClr val="595959"/>
                </a:solidFill>
                <a:latin typeface="Calibri"/>
              </a:defRPr>
            </a:pPr>
            <a:r>
              <a:rPr b="0" sz="1800" spc="-1" strike="noStrike">
                <a:solidFill>
                  <a:srgbClr val="595959"/>
                </a:solidFill>
                <a:latin typeface="Calibri"/>
              </a:rPr>
              <a:t>Felvettek száma levelező tagozaton karonként,  képzési szintenként (2018)
</a:t>
            </a:r>
          </a:p>
        </c:rich>
      </c:tx>
      <c:overlay val="0"/>
      <c:spPr>
        <a:noFill/>
        <a:ln>
          <a:noFill/>
        </a:ln>
      </c:spPr>
    </c:title>
    <c:autoTitleDeleted val="0"/>
    <c:plotArea>
      <c:barChart>
        <c:barDir val="col"/>
        <c:grouping val="clustered"/>
        <c:varyColors val="0"/>
        <c:ser>
          <c:idx val="0"/>
          <c:order val="0"/>
          <c:tx>
            <c:strRef>
              <c:f>label 0</c:f>
              <c:strCache>
                <c:ptCount val="1"/>
                <c:pt idx="0">
                  <c:v>Alap</c:v>
                </c:pt>
              </c:strCache>
            </c:strRef>
          </c:tx>
          <c:spPr>
            <a:solidFill>
              <a:srgbClr val="5b9bd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0</c:f>
              <c:numCache>
                <c:formatCode>General</c:formatCode>
                <c:ptCount val="5"/>
                <c:pt idx="0">
                  <c:v>48</c:v>
                </c:pt>
                <c:pt idx="1">
                  <c:v>57</c:v>
                </c:pt>
                <c:pt idx="2">
                  <c:v>112</c:v>
                </c:pt>
                <c:pt idx="3">
                  <c:v>392</c:v>
                </c:pt>
                <c:pt idx="4">
                  <c:v>157</c:v>
                </c:pt>
              </c:numCache>
            </c:numRef>
          </c:val>
        </c:ser>
        <c:ser>
          <c:idx val="1"/>
          <c:order val="1"/>
          <c:tx>
            <c:strRef>
              <c:f>label 1</c:f>
              <c:strCache>
                <c:ptCount val="1"/>
                <c:pt idx="0">
                  <c:v>Osztatlan</c:v>
                </c:pt>
              </c:strCache>
            </c:strRef>
          </c:tx>
          <c:spPr>
            <a:solidFill>
              <a:srgbClr val="ed7d31"/>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1</c:f>
              <c:numCache>
                <c:formatCode>General</c:formatCode>
                <c:ptCount val="5"/>
                <c:pt idx="0">
                  <c:v>0</c:v>
                </c:pt>
                <c:pt idx="1">
                  <c:v>42</c:v>
                </c:pt>
                <c:pt idx="2">
                  <c:v>1</c:v>
                </c:pt>
                <c:pt idx="3">
                  <c:v>17</c:v>
                </c:pt>
                <c:pt idx="4">
                  <c:v>56</c:v>
                </c:pt>
              </c:numCache>
            </c:numRef>
          </c:val>
        </c:ser>
        <c:ser>
          <c:idx val="2"/>
          <c:order val="2"/>
          <c:tx>
            <c:strRef>
              <c:f>label 2</c:f>
              <c:strCache>
                <c:ptCount val="1"/>
                <c:pt idx="0">
                  <c:v>FOSZ</c:v>
                </c:pt>
              </c:strCache>
            </c:strRef>
          </c:tx>
          <c:spPr>
            <a:solidFill>
              <a:srgbClr val="a5a5a5"/>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2</c:f>
              <c:numCache>
                <c:formatCode>General</c:formatCode>
                <c:ptCount val="5"/>
                <c:pt idx="0">
                  <c:v>32</c:v>
                </c:pt>
                <c:pt idx="1">
                  <c:v>11</c:v>
                </c:pt>
                <c:pt idx="2">
                  <c:v>82</c:v>
                </c:pt>
                <c:pt idx="3">
                  <c:v>0</c:v>
                </c:pt>
                <c:pt idx="4">
                  <c:v>31</c:v>
                </c:pt>
              </c:numCache>
            </c:numRef>
          </c:val>
        </c:ser>
        <c:ser>
          <c:idx val="3"/>
          <c:order val="3"/>
          <c:tx>
            <c:strRef>
              <c:f>label 3</c:f>
              <c:strCache>
                <c:ptCount val="1"/>
                <c:pt idx="0">
                  <c:v>Mester</c:v>
                </c:pt>
              </c:strCache>
            </c:strRef>
          </c:tx>
          <c:spPr>
            <a:solidFill>
              <a:srgbClr val="ffc000"/>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3</c:f>
              <c:numCache>
                <c:formatCode>General</c:formatCode>
                <c:ptCount val="5"/>
                <c:pt idx="0">
                  <c:v>4</c:v>
                </c:pt>
                <c:pt idx="1">
                  <c:v>86</c:v>
                </c:pt>
                <c:pt idx="2">
                  <c:v>46</c:v>
                </c:pt>
                <c:pt idx="3">
                  <c:v>16</c:v>
                </c:pt>
                <c:pt idx="4">
                  <c:v>120</c:v>
                </c:pt>
              </c:numCache>
            </c:numRef>
          </c:val>
        </c:ser>
        <c:gapWidth val="219"/>
        <c:overlap val="-27"/>
        <c:axId val="86490416"/>
        <c:axId val="2087865"/>
      </c:barChart>
      <c:lineChart>
        <c:grouping val="standard"/>
        <c:varyColors val="0"/>
        <c:ser>
          <c:idx val="4"/>
          <c:order val="4"/>
          <c:tx>
            <c:strRef>
              <c:f>label 4</c:f>
              <c:strCache>
                <c:ptCount val="1"/>
                <c:pt idx="0">
                  <c:v>Össz</c:v>
                </c:pt>
              </c:strCache>
            </c:strRef>
          </c:tx>
          <c:spPr>
            <a:solidFill>
              <a:srgbClr val="4472c4"/>
            </a:solidFill>
            <a:ln w="28440">
              <a:solidFill>
                <a:srgbClr val="4472c4"/>
              </a:solidFill>
              <a:round/>
            </a:ln>
          </c:spPr>
          <c:marker>
            <c:symbol val="none"/>
          </c:marker>
          <c:dLbls>
            <c:numFmt formatCode="General" sourceLinked="1"/>
            <c:txPr>
              <a:bodyPr/>
              <a:lstStyle/>
              <a:p>
                <a:pPr>
                  <a:defRPr b="1" sz="900" spc="-1" strike="noStrike">
                    <a:solidFill>
                      <a:srgbClr val="404040"/>
                    </a:solidFill>
                    <a:latin typeface="Calibri"/>
                  </a:defRPr>
                </a:pPr>
              </a:p>
            </c:txPr>
            <c:dLblPos val="r"/>
            <c:showLegendKey val="0"/>
            <c:showVal val="1"/>
            <c:showCatName val="0"/>
            <c:showSerName val="0"/>
            <c:showPercent val="0"/>
            <c:showLeaderLines val="0"/>
          </c:dLbls>
          <c:cat>
            <c:strRef>
              <c:f>categories</c:f>
              <c:strCache>
                <c:ptCount val="5"/>
                <c:pt idx="0">
                  <c:v>EKE-AVK</c:v>
                </c:pt>
                <c:pt idx="1">
                  <c:v>EKE-BTK</c:v>
                </c:pt>
                <c:pt idx="2">
                  <c:v>EKE-GTK</c:v>
                </c:pt>
                <c:pt idx="3">
                  <c:v>EKE-PK</c:v>
                </c:pt>
                <c:pt idx="4">
                  <c:v>EKE-TTK</c:v>
                </c:pt>
              </c:strCache>
            </c:strRef>
          </c:cat>
          <c:val>
            <c:numRef>
              <c:f>4</c:f>
              <c:numCache>
                <c:formatCode>General</c:formatCode>
                <c:ptCount val="5"/>
                <c:pt idx="0">
                  <c:v>84</c:v>
                </c:pt>
                <c:pt idx="1">
                  <c:v>196</c:v>
                </c:pt>
                <c:pt idx="2">
                  <c:v>241</c:v>
                </c:pt>
                <c:pt idx="3">
                  <c:v>425</c:v>
                </c:pt>
                <c:pt idx="4">
                  <c:v>364</c:v>
                </c:pt>
              </c:numCache>
            </c:numRef>
          </c:val>
          <c:smooth val="0"/>
        </c:ser>
        <c:hiLowLines>
          <c:spPr>
            <a:ln>
              <a:noFill/>
            </a:ln>
          </c:spPr>
        </c:hiLowLines>
        <c:marker val="0"/>
        <c:axId val="86490416"/>
        <c:axId val="2087865"/>
      </c:lineChart>
      <c:catAx>
        <c:axId val="86490416"/>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087865"/>
        <c:crosses val="autoZero"/>
        <c:auto val="1"/>
        <c:lblAlgn val="ctr"/>
        <c:lblOffset val="100"/>
      </c:catAx>
      <c:valAx>
        <c:axId val="2087865"/>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6490416"/>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összesített karonkénti adatok 2015-18</a:t>
            </a:r>
          </a:p>
        </c:rich>
      </c:tx>
      <c:overlay val="0"/>
      <c:spPr>
        <a:noFill/>
        <a:ln>
          <a:noFill/>
        </a:ln>
      </c:spPr>
    </c:title>
    <c:autoTitleDeleted val="0"/>
    <c:view3D>
      <c:rotX val="15"/>
      <c:rotY val="20"/>
      <c:rAngAx val="1"/>
      <c:perspective val="30"/>
    </c:view3D>
    <c:floor>
      <c:spPr>
        <a:noFill/>
        <a:ln w="6480">
          <a:noFill/>
        </a:ln>
      </c:spPr>
    </c:floor>
    <c:sideWall>
      <c:spPr>
        <a:noFill/>
        <a:ln w="6480">
          <a:noFill/>
        </a:ln>
      </c:spPr>
    </c:sideWall>
    <c:backWall>
      <c:spPr>
        <a:noFill/>
        <a:ln w="6480">
          <a:noFill/>
        </a:ln>
      </c:spPr>
    </c:backWall>
    <c:plotArea>
      <c:bar3DChart>
        <c:barDir val="col"/>
        <c:grouping val="stacked"/>
        <c:varyColors val="0"/>
        <c:ser>
          <c:idx val="0"/>
          <c:order val="0"/>
          <c:tx>
            <c:strRef>
              <c:f>label 0</c:f>
              <c:strCache>
                <c:ptCount val="1"/>
                <c:pt idx="0">
                  <c:v>AVK </c:v>
                </c:pt>
              </c:strCache>
            </c:strRef>
          </c:tx>
          <c:spPr>
            <a:solidFill>
              <a:srgbClr val="5b9bd5"/>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686</c:v>
                </c:pt>
                <c:pt idx="1">
                  <c:v>160</c:v>
                </c:pt>
                <c:pt idx="2">
                  <c:v>90</c:v>
                </c:pt>
                <c:pt idx="3">
                  <c:v>805</c:v>
                </c:pt>
                <c:pt idx="4">
                  <c:v>209</c:v>
                </c:pt>
                <c:pt idx="5">
                  <c:v>140</c:v>
                </c:pt>
                <c:pt idx="6">
                  <c:v>636</c:v>
                </c:pt>
                <c:pt idx="7">
                  <c:v>180</c:v>
                </c:pt>
                <c:pt idx="8">
                  <c:v>109</c:v>
                </c:pt>
                <c:pt idx="9">
                  <c:v>634</c:v>
                </c:pt>
                <c:pt idx="10">
                  <c:v>167</c:v>
                </c:pt>
                <c:pt idx="11">
                  <c:v>134</c:v>
                </c:pt>
              </c:numCache>
            </c:numRef>
          </c:val>
        </c:ser>
        <c:ser>
          <c:idx val="1"/>
          <c:order val="1"/>
          <c:tx>
            <c:strRef>
              <c:f>label 1</c:f>
              <c:strCache>
                <c:ptCount val="1"/>
                <c:pt idx="0">
                  <c:v>BTK </c:v>
                </c:pt>
              </c:strCache>
            </c:strRef>
          </c:tx>
          <c:spPr>
            <a:solidFill>
              <a:srgbClr val="ed7d31"/>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1531</c:v>
                </c:pt>
                <c:pt idx="1">
                  <c:v>411</c:v>
                </c:pt>
                <c:pt idx="2">
                  <c:v>337</c:v>
                </c:pt>
                <c:pt idx="3">
                  <c:v>1746</c:v>
                </c:pt>
                <c:pt idx="4">
                  <c:v>488</c:v>
                </c:pt>
                <c:pt idx="5">
                  <c:v>364</c:v>
                </c:pt>
                <c:pt idx="6">
                  <c:v>2010</c:v>
                </c:pt>
                <c:pt idx="7">
                  <c:v>602</c:v>
                </c:pt>
                <c:pt idx="8">
                  <c:v>441</c:v>
                </c:pt>
                <c:pt idx="9">
                  <c:v>1989</c:v>
                </c:pt>
                <c:pt idx="10">
                  <c:v>614</c:v>
                </c:pt>
                <c:pt idx="11">
                  <c:v>455</c:v>
                </c:pt>
              </c:numCache>
            </c:numRef>
          </c:val>
        </c:ser>
        <c:ser>
          <c:idx val="2"/>
          <c:order val="2"/>
          <c:tx>
            <c:strRef>
              <c:f>label 2</c:f>
              <c:strCache>
                <c:ptCount val="1"/>
                <c:pt idx="0">
                  <c:v>GTK </c:v>
                </c:pt>
              </c:strCache>
            </c:strRef>
          </c:tx>
          <c:spPr>
            <a:solidFill>
              <a:srgbClr val="a5a5a5"/>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2523</c:v>
                </c:pt>
                <c:pt idx="1">
                  <c:v>580</c:v>
                </c:pt>
                <c:pt idx="2">
                  <c:v>420</c:v>
                </c:pt>
                <c:pt idx="3">
                  <c:v>3238</c:v>
                </c:pt>
                <c:pt idx="4">
                  <c:v>776</c:v>
                </c:pt>
                <c:pt idx="5">
                  <c:v>511</c:v>
                </c:pt>
                <c:pt idx="6">
                  <c:v>2733</c:v>
                </c:pt>
                <c:pt idx="7">
                  <c:v>682</c:v>
                </c:pt>
                <c:pt idx="8">
                  <c:v>472</c:v>
                </c:pt>
                <c:pt idx="9">
                  <c:v>2647</c:v>
                </c:pt>
                <c:pt idx="10">
                  <c:v>699</c:v>
                </c:pt>
                <c:pt idx="11">
                  <c:v>524</c:v>
                </c:pt>
              </c:numCache>
            </c:numRef>
          </c:val>
        </c:ser>
        <c:ser>
          <c:idx val="3"/>
          <c:order val="3"/>
          <c:tx>
            <c:strRef>
              <c:f>label 3</c:f>
              <c:strCache>
                <c:ptCount val="1"/>
                <c:pt idx="0">
                  <c:v>PK </c:v>
                </c:pt>
              </c:strCache>
            </c:strRef>
          </c:tx>
          <c:spPr>
            <a:solidFill>
              <a:srgbClr val="ffc000"/>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2295</c:v>
                </c:pt>
                <c:pt idx="1">
                  <c:v>705</c:v>
                </c:pt>
                <c:pt idx="2">
                  <c:v>325</c:v>
                </c:pt>
                <c:pt idx="3">
                  <c:v>3498</c:v>
                </c:pt>
                <c:pt idx="4">
                  <c:v>963</c:v>
                </c:pt>
                <c:pt idx="5">
                  <c:v>559</c:v>
                </c:pt>
                <c:pt idx="6">
                  <c:v>3264</c:v>
                </c:pt>
                <c:pt idx="7">
                  <c:v>1021</c:v>
                </c:pt>
                <c:pt idx="8">
                  <c:v>512</c:v>
                </c:pt>
                <c:pt idx="9">
                  <c:v>3848</c:v>
                </c:pt>
                <c:pt idx="10">
                  <c:v>1257</c:v>
                </c:pt>
                <c:pt idx="11">
                  <c:v>659</c:v>
                </c:pt>
              </c:numCache>
            </c:numRef>
          </c:val>
        </c:ser>
        <c:ser>
          <c:idx val="4"/>
          <c:order val="4"/>
          <c:tx>
            <c:strRef>
              <c:f>label 4</c:f>
              <c:strCache>
                <c:ptCount val="1"/>
                <c:pt idx="0">
                  <c:v>TTK </c:v>
                </c:pt>
              </c:strCache>
            </c:strRef>
          </c:tx>
          <c:spPr>
            <a:solidFill>
              <a:srgbClr val="4472c4"/>
            </a:solidFill>
            <a:ln>
              <a:noFill/>
            </a:ln>
          </c:spPr>
          <c:invertIfNegative val="0"/>
          <c:dLbls>
            <c:numFmt formatCode="General" sourceLinked="1"/>
            <c:txPr>
              <a:bodyPr/>
              <a:lstStyle/>
              <a:p>
                <a:pPr>
                  <a:defRPr b="1" sz="800" spc="-1" strike="noStrike">
                    <a:solidFill>
                      <a:srgbClr val="ffffff"/>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4</c:f>
              <c:numCache>
                <c:formatCode>General</c:formatCode>
                <c:ptCount val="12"/>
                <c:pt idx="0">
                  <c:v>2409</c:v>
                </c:pt>
                <c:pt idx="1">
                  <c:v>616</c:v>
                </c:pt>
                <c:pt idx="2">
                  <c:v>490</c:v>
                </c:pt>
                <c:pt idx="3">
                  <c:v>2928</c:v>
                </c:pt>
                <c:pt idx="4">
                  <c:v>795</c:v>
                </c:pt>
                <c:pt idx="5">
                  <c:v>613</c:v>
                </c:pt>
                <c:pt idx="6">
                  <c:v>2911</c:v>
                </c:pt>
                <c:pt idx="7">
                  <c:v>865</c:v>
                </c:pt>
                <c:pt idx="8">
                  <c:v>623</c:v>
                </c:pt>
                <c:pt idx="9">
                  <c:v>2692</c:v>
                </c:pt>
                <c:pt idx="10">
                  <c:v>809</c:v>
                </c:pt>
                <c:pt idx="11">
                  <c:v>614</c:v>
                </c:pt>
              </c:numCache>
            </c:numRef>
          </c:val>
        </c:ser>
        <c:gapWidth val="79"/>
        <c:shape val="box"/>
        <c:axId val="14180387"/>
        <c:axId val="3093135"/>
        <c:axId val="0"/>
      </c:bar3DChart>
      <c:catAx>
        <c:axId val="14180387"/>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3093135"/>
        <c:crosses val="autoZero"/>
        <c:auto val="1"/>
        <c:lblAlgn val="ctr"/>
        <c:lblOffset val="100"/>
      </c:catAx>
      <c:valAx>
        <c:axId val="3093135"/>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14180387"/>
        <c:crosses val="autoZero"/>
      </c:valAx>
    </c:plotArea>
    <c:legend>
      <c:legendPos val="t"/>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3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44546a"/>
                </a:solidFill>
                <a:latin typeface="Calibri"/>
              </a:defRPr>
            </a:pPr>
            <a:r>
              <a:rPr b="1" sz="1200" spc="-1" strike="noStrike">
                <a:solidFill>
                  <a:srgbClr val="44546a"/>
                </a:solidFill>
                <a:latin typeface="Calibri"/>
              </a:rPr>
              <a:t>A 2018-ban jelentkezettek képzési hely választásának megoszlása</a:t>
            </a:r>
          </a:p>
        </c:rich>
      </c:tx>
      <c:overlay val="0"/>
      <c:spPr>
        <a:noFill/>
        <a:ln>
          <a:noFill/>
        </a:ln>
      </c:spPr>
    </c:title>
    <c:autoTitleDeleted val="0"/>
    <c:plotArea>
      <c:pieChart>
        <c:varyColors val="1"/>
        <c:ser>
          <c:idx val="0"/>
          <c:order val="0"/>
          <c:tx>
            <c:strRef>
              <c:f>label 0</c:f>
              <c:strCache>
                <c:ptCount val="1"/>
                <c:pt idx="0">
                  <c:v/>
                </c:pt>
              </c:strCache>
            </c:strRef>
          </c:tx>
          <c:spPr>
            <a:solidFill>
              <a:srgbClr val="5b9bd5"/>
            </a:solidFill>
            <a:ln>
              <a:noFill/>
            </a:ln>
          </c:spPr>
          <c:explosion val="0"/>
          <c:dPt>
            <c:idx val="0"/>
            <c:spPr>
              <a:gradFill>
                <a:gsLst>
                  <a:gs pos="0">
                    <a:srgbClr val="71a6da"/>
                  </a:gs>
                  <a:gs pos="100000">
                    <a:srgbClr val="549ada"/>
                  </a:gs>
                </a:gsLst>
                <a:lin ang="5400000"/>
              </a:gradFill>
              <a:ln>
                <a:noFill/>
              </a:ln>
            </c:spPr>
          </c:dPt>
          <c:dPt>
            <c:idx val="1"/>
            <c:spPr>
              <a:gradFill>
                <a:gsLst>
                  <a:gs pos="0">
                    <a:srgbClr val="f08c56"/>
                  </a:gs>
                  <a:gs pos="100000">
                    <a:srgbClr val="f57a27"/>
                  </a:gs>
                </a:gsLst>
                <a:lin ang="5400000"/>
              </a:gradFill>
              <a:ln>
                <a:noFill/>
              </a:ln>
            </c:spPr>
          </c:dPt>
          <c:dPt>
            <c:idx val="2"/>
            <c:spPr>
              <a:gradFill>
                <a:gsLst>
                  <a:gs pos="0">
                    <a:srgbClr val="aeaeae"/>
                  </a:gs>
                  <a:gs pos="100000">
                    <a:srgbClr val="a4a4a4"/>
                  </a:gs>
                </a:gsLst>
                <a:lin ang="5400000"/>
              </a:gradFill>
              <a:ln>
                <a:noFill/>
              </a:ln>
            </c:spPr>
          </c:dPt>
          <c:dPt>
            <c:idx val="3"/>
            <c:spPr>
              <a:gradFill>
                <a:gsLst>
                  <a:gs pos="0">
                    <a:srgbClr val="ffc54b"/>
                  </a:gs>
                  <a:gs pos="100000">
                    <a:srgbClr val="ffbf00"/>
                  </a:gs>
                </a:gsLst>
                <a:lin ang="5400000"/>
              </a:gradFill>
              <a:ln>
                <a:noFill/>
              </a:ln>
            </c:spPr>
          </c:dPt>
          <c:dLbls>
            <c:numFmt formatCode="General" sourceLinked="1"/>
            <c:dLbl>
              <c:idx val="0"/>
              <c:numFmt formatCode="General" sourceLinked="1"/>
              <c:txPr>
                <a:bodyPr/>
                <a:lstStyle/>
                <a:p>
                  <a:pPr>
                    <a:defRPr b="0" sz="900" spc="-1" strike="noStrike">
                      <a:solidFill>
                        <a:srgbClr val="44546a"/>
                      </a:solidFill>
                      <a:latin typeface="Calibri"/>
                    </a:defRPr>
                  </a:pPr>
                </a:p>
              </c:txPr>
              <c:dLblPos val="inEnd"/>
              <c:showLegendKey val="0"/>
              <c:showVal val="0"/>
              <c:showCatName val="0"/>
              <c:showSerName val="0"/>
              <c:showPercent val="1"/>
            </c:dLbl>
            <c:dLbl>
              <c:idx val="1"/>
              <c:numFmt formatCode="General" sourceLinked="1"/>
              <c:txPr>
                <a:bodyPr/>
                <a:lstStyle/>
                <a:p>
                  <a:pPr>
                    <a:defRPr b="0" sz="900" spc="-1" strike="noStrike">
                      <a:solidFill>
                        <a:srgbClr val="44546a"/>
                      </a:solidFill>
                      <a:latin typeface="Calibri"/>
                    </a:defRPr>
                  </a:pPr>
                </a:p>
              </c:txPr>
              <c:dLblPos val="inEnd"/>
              <c:showLegendKey val="0"/>
              <c:showVal val="0"/>
              <c:showCatName val="0"/>
              <c:showSerName val="0"/>
              <c:showPercent val="1"/>
            </c:dLbl>
            <c:dLbl>
              <c:idx val="2"/>
              <c:numFmt formatCode="General" sourceLinked="1"/>
              <c:txPr>
                <a:bodyPr/>
                <a:lstStyle/>
                <a:p>
                  <a:pPr>
                    <a:defRPr b="0" sz="900" spc="-1" strike="noStrike">
                      <a:solidFill>
                        <a:srgbClr val="44546a"/>
                      </a:solidFill>
                      <a:latin typeface="Calibri"/>
                    </a:defRPr>
                  </a:pPr>
                </a:p>
              </c:txPr>
              <c:dLblPos val="inEnd"/>
              <c:showLegendKey val="0"/>
              <c:showVal val="0"/>
              <c:showCatName val="0"/>
              <c:showSerName val="0"/>
              <c:showPercent val="1"/>
            </c:dLbl>
            <c:dLbl>
              <c:idx val="3"/>
              <c:numFmt formatCode="General" sourceLinked="1"/>
              <c:txPr>
                <a:bodyPr/>
                <a:lstStyle/>
                <a:p>
                  <a:pPr>
                    <a:defRPr b="0" sz="900" spc="-1" strike="noStrike">
                      <a:solidFill>
                        <a:srgbClr val="44546a"/>
                      </a:solidFill>
                      <a:latin typeface="Calibri"/>
                    </a:defRPr>
                  </a:pPr>
                </a:p>
              </c:txPr>
              <c:dLblPos val="inEnd"/>
              <c:showLegendKey val="0"/>
              <c:showVal val="0"/>
              <c:showCatName val="0"/>
              <c:showSerName val="0"/>
              <c:showPercent val="1"/>
            </c:dLbl>
            <c:txPr>
              <a:bodyPr/>
              <a:lstStyle/>
              <a:p>
                <a:pPr>
                  <a:defRPr b="0" sz="900" spc="-1" strike="noStrike">
                    <a:solidFill>
                      <a:srgbClr val="44546a"/>
                    </a:solidFill>
                    <a:latin typeface="Calibri"/>
                  </a:defRPr>
                </a:pPr>
              </a:p>
            </c:txPr>
            <c:dLblPos val="inEnd"/>
            <c:showLegendKey val="0"/>
            <c:showVal val="0"/>
            <c:showCatName val="0"/>
            <c:showSerName val="0"/>
            <c:showPercent val="1"/>
            <c:showLeaderLines val="0"/>
          </c:dLbls>
          <c:cat>
            <c:strRef>
              <c:f>categories</c:f>
              <c:strCache>
                <c:ptCount val="4"/>
                <c:pt idx="0">
                  <c:v>Eger</c:v>
                </c:pt>
                <c:pt idx="1">
                  <c:v>Gyöngyös</c:v>
                </c:pt>
                <c:pt idx="2">
                  <c:v>Sárospatak</c:v>
                </c:pt>
                <c:pt idx="3">
                  <c:v>Jászberény</c:v>
                </c:pt>
              </c:strCache>
            </c:strRef>
          </c:cat>
          <c:val>
            <c:numRef>
              <c:f>0</c:f>
              <c:numCache>
                <c:formatCode>General</c:formatCode>
                <c:ptCount val="4"/>
                <c:pt idx="0">
                  <c:v>8752</c:v>
                </c:pt>
                <c:pt idx="1">
                  <c:v>1574</c:v>
                </c:pt>
                <c:pt idx="2">
                  <c:v>574</c:v>
                </c:pt>
                <c:pt idx="3">
                  <c:v>910</c:v>
                </c:pt>
              </c:numCache>
            </c:numRef>
          </c:val>
        </c:ser>
        <c:firstSliceAng val="0"/>
      </c:pieChart>
      <c:spPr>
        <a:noFill/>
        <a:ln>
          <a:noFill/>
        </a:ln>
      </c:spPr>
    </c:plotArea>
    <c:legend>
      <c:legendPos val="b"/>
      <c:overlay val="0"/>
      <c:spPr>
        <a:noFill/>
        <a:ln>
          <a:noFill/>
        </a:ln>
      </c:spPr>
      <c:txPr>
        <a:bodyPr/>
        <a:lstStyle/>
        <a:p>
          <a:pPr>
            <a:defRPr b="0" sz="900" spc="-1" strike="noStrike">
              <a:solidFill>
                <a:srgbClr val="44546a"/>
              </a:solidFill>
              <a:latin typeface="Calibri"/>
            </a:defRPr>
          </a:pPr>
        </a:p>
      </c:txPr>
    </c:legend>
    <c:plotVisOnly val="1"/>
    <c:dispBlanksAs val="gap"/>
  </c:chart>
  <c:spPr>
    <a:solidFill>
      <a:srgbClr val="ffffff"/>
    </a:solidFill>
    <a:ln w="9360">
      <a:solidFill>
        <a:srgbClr val="e0e5eb"/>
      </a:solidFill>
      <a:round/>
    </a:ln>
  </c:spPr>
</c:chartSpace>
</file>

<file path=word/charts/chart3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49" strike="noStrike">
                <a:solidFill>
                  <a:srgbClr val="595959"/>
                </a:solidFill>
                <a:latin typeface="Calibri"/>
              </a:defRPr>
            </a:pPr>
            <a:r>
              <a:rPr b="1" sz="1600" spc="49" strike="noStrike">
                <a:solidFill>
                  <a:srgbClr val="595959"/>
                </a:solidFill>
                <a:latin typeface="Calibri"/>
              </a:rPr>
              <a:t>campusonkénti összesített adatok 2015-18</a:t>
            </a:r>
          </a:p>
        </c:rich>
      </c:tx>
      <c:overlay val="0"/>
      <c:spPr>
        <a:noFill/>
        <a:ln>
          <a:noFill/>
        </a:ln>
      </c:spPr>
    </c:title>
    <c:autoTitleDeleted val="0"/>
    <c:plotArea>
      <c:areaChart>
        <c:grouping val="percentStacked"/>
        <c:ser>
          <c:idx val="0"/>
          <c:order val="0"/>
          <c:tx>
            <c:strRef>
              <c:f>label 0</c:f>
              <c:strCache>
                <c:ptCount val="1"/>
                <c:pt idx="0">
                  <c:v>Eger</c:v>
                </c:pt>
              </c:strCache>
            </c:strRef>
          </c:tx>
          <c:spPr>
            <a:solidFill>
              <a:srgbClr val="5b9bd5">
                <a:alpha val="74000"/>
              </a:srgbClr>
            </a:solidFill>
            <a:ln>
              <a:noFill/>
            </a:ln>
          </c:spPr>
          <c:dLbls>
            <c:numFmt formatCode="General" sourceLinked="1"/>
            <c:txPr>
              <a:bodyPr/>
              <a:lstStyle/>
              <a:p>
                <a:pPr>
                  <a:defRPr b="1" sz="1000" spc="-1" strike="noStrike">
                    <a:solidFill>
                      <a:srgbClr val="1f4e79"/>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6372</c:v>
                </c:pt>
                <c:pt idx="1">
                  <c:v>1683</c:v>
                </c:pt>
                <c:pt idx="2">
                  <c:v>1202</c:v>
                </c:pt>
                <c:pt idx="3">
                  <c:v>8328</c:v>
                </c:pt>
                <c:pt idx="4">
                  <c:v>2243</c:v>
                </c:pt>
                <c:pt idx="5">
                  <c:v>1542</c:v>
                </c:pt>
                <c:pt idx="6">
                  <c:v>8507</c:v>
                </c:pt>
                <c:pt idx="7">
                  <c:v>2504</c:v>
                </c:pt>
                <c:pt idx="8">
                  <c:v>1678</c:v>
                </c:pt>
                <c:pt idx="9">
                  <c:v>8752</c:v>
                </c:pt>
                <c:pt idx="10">
                  <c:v>2666</c:v>
                </c:pt>
                <c:pt idx="11">
                  <c:v>1832</c:v>
                </c:pt>
              </c:numCache>
            </c:numRef>
          </c:val>
        </c:ser>
        <c:ser>
          <c:idx val="1"/>
          <c:order val="1"/>
          <c:tx>
            <c:strRef>
              <c:f>label 1</c:f>
              <c:strCache>
                <c:ptCount val="1"/>
                <c:pt idx="0">
                  <c:v>Gyöngyös</c:v>
                </c:pt>
              </c:strCache>
            </c:strRef>
          </c:tx>
          <c:spPr>
            <a:solidFill>
              <a:srgbClr val="ed7d31">
                <a:alpha val="74000"/>
              </a:srgbClr>
            </a:solidFill>
            <a:ln>
              <a:noFill/>
            </a:ln>
          </c:spPr>
          <c:dLbls>
            <c:numFmt formatCode="General" sourceLinked="1"/>
            <c:txPr>
              <a:bodyPr/>
              <a:lstStyle/>
              <a:p>
                <a:pPr>
                  <a:defRPr b="1" sz="1000" spc="-1" strike="noStrike">
                    <a:solidFill>
                      <a:srgbClr val="843c0b"/>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1892</c:v>
                </c:pt>
                <c:pt idx="1">
                  <c:v>418</c:v>
                </c:pt>
                <c:pt idx="2">
                  <c:v>267</c:v>
                </c:pt>
                <c:pt idx="3">
                  <c:v>2104</c:v>
                </c:pt>
                <c:pt idx="4">
                  <c:v>507</c:v>
                </c:pt>
                <c:pt idx="5">
                  <c:v>343</c:v>
                </c:pt>
                <c:pt idx="6">
                  <c:v>1520</c:v>
                </c:pt>
                <c:pt idx="7">
                  <c:v>380</c:v>
                </c:pt>
                <c:pt idx="8">
                  <c:v>245</c:v>
                </c:pt>
                <c:pt idx="9">
                  <c:v>1574</c:v>
                </c:pt>
                <c:pt idx="10">
                  <c:v>378</c:v>
                </c:pt>
                <c:pt idx="11">
                  <c:v>292</c:v>
                </c:pt>
              </c:numCache>
            </c:numRef>
          </c:val>
        </c:ser>
        <c:ser>
          <c:idx val="2"/>
          <c:order val="2"/>
          <c:tx>
            <c:strRef>
              <c:f>label 2</c:f>
              <c:strCache>
                <c:ptCount val="1"/>
                <c:pt idx="0">
                  <c:v>Sárospatak</c:v>
                </c:pt>
              </c:strCache>
            </c:strRef>
          </c:tx>
          <c:spPr>
            <a:solidFill>
              <a:srgbClr val="a5a5a5">
                <a:alpha val="74000"/>
              </a:srgbClr>
            </a:solidFill>
            <a:ln>
              <a:noFill/>
            </a:ln>
          </c:spPr>
          <c:dLbls>
            <c:numFmt formatCode="General" sourceLinked="1"/>
            <c:txPr>
              <a:bodyPr/>
              <a:lstStyle/>
              <a:p>
                <a:pPr>
                  <a:defRPr b="1" sz="1000" spc="-1" strike="noStrike">
                    <a:solidFill>
                      <a:srgbClr val="535353"/>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521</c:v>
                </c:pt>
                <c:pt idx="1">
                  <c:v>178</c:v>
                </c:pt>
                <c:pt idx="2">
                  <c:v>96</c:v>
                </c:pt>
                <c:pt idx="3">
                  <c:v>702</c:v>
                </c:pt>
                <c:pt idx="4">
                  <c:v>228</c:v>
                </c:pt>
                <c:pt idx="5">
                  <c:v>130</c:v>
                </c:pt>
                <c:pt idx="6">
                  <c:v>722</c:v>
                </c:pt>
                <c:pt idx="7">
                  <c:v>216</c:v>
                </c:pt>
                <c:pt idx="8">
                  <c:v>120</c:v>
                </c:pt>
                <c:pt idx="9">
                  <c:v>574</c:v>
                </c:pt>
                <c:pt idx="10">
                  <c:v>200</c:v>
                </c:pt>
                <c:pt idx="11">
                  <c:v>107</c:v>
                </c:pt>
              </c:numCache>
            </c:numRef>
          </c:val>
        </c:ser>
        <c:ser>
          <c:idx val="3"/>
          <c:order val="3"/>
          <c:tx>
            <c:strRef>
              <c:f>label 3</c:f>
              <c:strCache>
                <c:ptCount val="1"/>
                <c:pt idx="0">
                  <c:v>Jászberény</c:v>
                </c:pt>
              </c:strCache>
            </c:strRef>
          </c:tx>
          <c:spPr>
            <a:solidFill>
              <a:srgbClr val="ffc000">
                <a:alpha val="74000"/>
              </a:srgbClr>
            </a:solidFill>
            <a:ln>
              <a:noFill/>
            </a:ln>
          </c:spPr>
          <c:dLbls>
            <c:numFmt formatCode="General" sourceLinked="1"/>
            <c:txPr>
              <a:bodyPr/>
              <a:lstStyle/>
              <a:p>
                <a:pPr>
                  <a:defRPr b="1" sz="1000" spc="-1" strike="noStrike">
                    <a:solidFill>
                      <a:srgbClr val="806000"/>
                    </a:solidFill>
                    <a:latin typeface="Calibri"/>
                  </a:defRPr>
                </a:pPr>
              </a:p>
            </c:txP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659</c:v>
                </c:pt>
                <c:pt idx="1">
                  <c:v>193</c:v>
                </c:pt>
                <c:pt idx="2">
                  <c:v>97</c:v>
                </c:pt>
                <c:pt idx="3">
                  <c:v>1081</c:v>
                </c:pt>
                <c:pt idx="4">
                  <c:v>253</c:v>
                </c:pt>
                <c:pt idx="5">
                  <c:v>172</c:v>
                </c:pt>
                <c:pt idx="6">
                  <c:v>805</c:v>
                </c:pt>
                <c:pt idx="7">
                  <c:v>250</c:v>
                </c:pt>
                <c:pt idx="8">
                  <c:v>114</c:v>
                </c:pt>
                <c:pt idx="9">
                  <c:v>910</c:v>
                </c:pt>
                <c:pt idx="10">
                  <c:v>302</c:v>
                </c:pt>
                <c:pt idx="11">
                  <c:v>155</c:v>
                </c:pt>
              </c:numCache>
            </c:numRef>
          </c:val>
        </c:ser>
        <c:axId val="26977923"/>
        <c:axId val="58053193"/>
      </c:areaChart>
      <c:catAx>
        <c:axId val="26977923"/>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8" strike="noStrike">
                <a:solidFill>
                  <a:srgbClr val="595959"/>
                </a:solidFill>
                <a:latin typeface="Calibri"/>
              </a:defRPr>
            </a:pPr>
          </a:p>
        </c:txPr>
        <c:crossAx val="58053193"/>
        <c:crosses val="autoZero"/>
        <c:auto val="1"/>
        <c:lblAlgn val="ctr"/>
        <c:lblOffset val="100"/>
      </c:catAx>
      <c:valAx>
        <c:axId val="58053193"/>
        <c:scaling>
          <c:orientation val="minMax"/>
        </c:scaling>
        <c:delete val="0"/>
        <c:axPos val="l"/>
        <c:majorGridlines>
          <c:spPr>
            <a:ln w="9360">
              <a:solidFill>
                <a:srgbClr val="f2f2f2"/>
              </a:solidFill>
              <a:round/>
            </a:ln>
          </c:spPr>
        </c:majorGridlines>
        <c:numFmt formatCode="0%" sourceLinked="0"/>
        <c:majorTickMark val="none"/>
        <c:minorTickMark val="none"/>
        <c:tickLblPos val="nextTo"/>
        <c:spPr>
          <a:ln w="6480">
            <a:noFill/>
          </a:ln>
        </c:spPr>
        <c:txPr>
          <a:bodyPr/>
          <a:lstStyle/>
          <a:p>
            <a:pPr>
              <a:defRPr b="0" sz="900" spc="18" strike="noStrike">
                <a:solidFill>
                  <a:srgbClr val="595959"/>
                </a:solidFill>
                <a:latin typeface="Calibri"/>
              </a:defRPr>
            </a:pPr>
          </a:p>
        </c:txPr>
        <c:crossAx val="26977923"/>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zero"/>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808080"/>
                </a:solidFill>
                <a:latin typeface="Calibri Light"/>
              </a:defRPr>
            </a:pPr>
            <a:r>
              <a:rPr b="1" sz="1600" spc="-1" strike="noStrike">
                <a:solidFill>
                  <a:srgbClr val="808080"/>
                </a:solidFill>
                <a:latin typeface="Calibri Light"/>
              </a:rPr>
              <a:t>AVK képzési helyenkénti jelentkezési adatok
(2015-2018)</a:t>
            </a:r>
          </a:p>
        </c:rich>
      </c:tx>
      <c:overlay val="0"/>
      <c:spPr>
        <a:noFill/>
        <a:ln>
          <a:noFill/>
        </a:ln>
      </c:spPr>
    </c:title>
    <c:autoTitleDeleted val="0"/>
    <c:plotArea>
      <c:lineChart>
        <c:grouping val="standard"/>
        <c:varyColors val="0"/>
        <c:ser>
          <c:idx val="0"/>
          <c:order val="0"/>
          <c:tx>
            <c:strRef>
              <c:f>label 0</c:f>
              <c:strCache>
                <c:ptCount val="1"/>
                <c:pt idx="0">
                  <c:v>Gyöngyös</c:v>
                </c:pt>
              </c:strCache>
            </c:strRef>
          </c:tx>
          <c:spPr>
            <a:solidFill>
              <a:srgbClr val="5b9bd5"/>
            </a:solidFill>
            <a:ln w="22320">
              <a:solidFill>
                <a:srgbClr val="5b9bd5"/>
              </a:solidFill>
              <a:round/>
            </a:ln>
          </c:spPr>
          <c:marker>
            <c:symbol val="none"/>
          </c:marker>
          <c:dLbls>
            <c:numFmt formatCode="General" sourceLinked="1"/>
            <c:txPr>
              <a:bodyPr/>
              <a:lstStyle/>
              <a:p>
                <a:pPr>
                  <a:defRPr b="0" sz="900" spc="-1" strike="noStrike">
                    <a:solidFill>
                      <a:srgbClr val="404040"/>
                    </a:solidFill>
                    <a:latin typeface="Calibri"/>
                  </a:defRPr>
                </a:pPr>
              </a:p>
            </c:txPr>
            <c:dLblPos val="t"/>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686</c:v>
                </c:pt>
                <c:pt idx="1">
                  <c:v>160</c:v>
                </c:pt>
                <c:pt idx="2">
                  <c:v>90</c:v>
                </c:pt>
                <c:pt idx="3">
                  <c:v>674</c:v>
                </c:pt>
                <c:pt idx="4">
                  <c:v>166</c:v>
                </c:pt>
                <c:pt idx="5">
                  <c:v>115</c:v>
                </c:pt>
                <c:pt idx="6">
                  <c:v>473</c:v>
                </c:pt>
                <c:pt idx="7">
                  <c:v>127</c:v>
                </c:pt>
                <c:pt idx="8">
                  <c:v>72</c:v>
                </c:pt>
                <c:pt idx="9">
                  <c:v>462</c:v>
                </c:pt>
                <c:pt idx="10">
                  <c:v>110</c:v>
                </c:pt>
                <c:pt idx="11">
                  <c:v>84</c:v>
                </c:pt>
              </c:numCache>
            </c:numRef>
          </c:val>
          <c:smooth val="0"/>
        </c:ser>
        <c:ser>
          <c:idx val="1"/>
          <c:order val="1"/>
          <c:tx>
            <c:strRef>
              <c:f>label 1</c:f>
              <c:strCache>
                <c:ptCount val="1"/>
                <c:pt idx="0">
                  <c:v>Eger</c:v>
                </c:pt>
              </c:strCache>
            </c:strRef>
          </c:tx>
          <c:spPr>
            <a:solidFill>
              <a:srgbClr val="ed7d31"/>
            </a:solidFill>
            <a:ln w="22320">
              <a:solidFill>
                <a:srgbClr val="ed7d31"/>
              </a:solidFill>
              <a:round/>
            </a:ln>
          </c:spPr>
          <c:marker>
            <c:symbol val="none"/>
          </c:marker>
          <c:dLbls>
            <c:numFmt formatCode="General" sourceLinked="1"/>
            <c:txPr>
              <a:bodyPr/>
              <a:lstStyle/>
              <a:p>
                <a:pPr>
                  <a:defRPr b="0" sz="900" spc="-1" strike="noStrike">
                    <a:solidFill>
                      <a:srgbClr val="404040"/>
                    </a:solidFill>
                    <a:latin typeface="Calibri"/>
                  </a:defRPr>
                </a:pPr>
              </a:p>
            </c:txPr>
            <c:dLblPos val="t"/>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
                </c:pt>
                <c:pt idx="1">
                  <c:v/>
                </c:pt>
                <c:pt idx="2">
                  <c:v/>
                </c:pt>
                <c:pt idx="3">
                  <c:v>95</c:v>
                </c:pt>
                <c:pt idx="4">
                  <c:v>22</c:v>
                </c:pt>
                <c:pt idx="5">
                  <c:v>9</c:v>
                </c:pt>
                <c:pt idx="6">
                  <c:v>84</c:v>
                </c:pt>
                <c:pt idx="7">
                  <c:v>21</c:v>
                </c:pt>
                <c:pt idx="8">
                  <c:v>16</c:v>
                </c:pt>
                <c:pt idx="9">
                  <c:v>102</c:v>
                </c:pt>
                <c:pt idx="10">
                  <c:v>30</c:v>
                </c:pt>
                <c:pt idx="11">
                  <c:v>27</c:v>
                </c:pt>
              </c:numCache>
            </c:numRef>
          </c:val>
          <c:smooth val="0"/>
        </c:ser>
        <c:ser>
          <c:idx val="2"/>
          <c:order val="2"/>
          <c:tx>
            <c:strRef>
              <c:f>label 2</c:f>
              <c:strCache>
                <c:ptCount val="1"/>
                <c:pt idx="0">
                  <c:v>Sárospatak</c:v>
                </c:pt>
              </c:strCache>
            </c:strRef>
          </c:tx>
          <c:spPr>
            <a:solidFill>
              <a:srgbClr val="a5a5a5"/>
            </a:solidFill>
            <a:ln w="22320">
              <a:solidFill>
                <a:srgbClr val="a5a5a5"/>
              </a:solidFill>
              <a:round/>
            </a:ln>
          </c:spPr>
          <c:marker>
            <c:symbol val="none"/>
          </c:marker>
          <c:dLbls>
            <c:numFmt formatCode="General" sourceLinked="1"/>
            <c:txPr>
              <a:bodyPr/>
              <a:lstStyle/>
              <a:p>
                <a:pPr>
                  <a:defRPr b="0" sz="900" spc="-1" strike="noStrike">
                    <a:solidFill>
                      <a:srgbClr val="404040"/>
                    </a:solidFill>
                    <a:latin typeface="Calibri"/>
                  </a:defRPr>
                </a:pPr>
              </a:p>
            </c:txPr>
            <c:dLblPos val="ctr"/>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
                </c:pt>
                <c:pt idx="1">
                  <c:v/>
                </c:pt>
                <c:pt idx="2">
                  <c:v/>
                </c:pt>
                <c:pt idx="3">
                  <c:v>36</c:v>
                </c:pt>
                <c:pt idx="4">
                  <c:v>21</c:v>
                </c:pt>
                <c:pt idx="5">
                  <c:v>16</c:v>
                </c:pt>
                <c:pt idx="6">
                  <c:v>79</c:v>
                </c:pt>
                <c:pt idx="7">
                  <c:v>32</c:v>
                </c:pt>
                <c:pt idx="8">
                  <c:v>21</c:v>
                </c:pt>
                <c:pt idx="9">
                  <c:v>70</c:v>
                </c:pt>
                <c:pt idx="10">
                  <c:v>27</c:v>
                </c:pt>
                <c:pt idx="11">
                  <c:v>23</c:v>
                </c:pt>
              </c:numCache>
            </c:numRef>
          </c:val>
          <c:smooth val="0"/>
        </c:ser>
        <c:hiLowLines>
          <c:spPr>
            <a:ln>
              <a:noFill/>
            </a:ln>
          </c:spPr>
        </c:hiLowLines>
        <c:marker val="0"/>
        <c:axId val="84959955"/>
        <c:axId val="59572620"/>
      </c:lineChart>
      <c:catAx>
        <c:axId val="84959955"/>
        <c:scaling>
          <c:orientation val="minMax"/>
        </c:scaling>
        <c:delete val="0"/>
        <c:axPos val="b"/>
        <c:majorGridlines>
          <c:spPr>
            <a:ln w="9360">
              <a:solidFill>
                <a:srgbClr val="d9d9d9">
                  <a:alpha val="54000"/>
                </a:srgbClr>
              </a:solidFill>
              <a:round/>
            </a:ln>
          </c:spPr>
        </c:majorGridlines>
        <c:minorGridlines>
          <c:spPr>
            <a:ln w="9360">
              <a:solidFill>
                <a:srgbClr val="d9d9d9">
                  <a:alpha val="51000"/>
                </a:srgbClr>
              </a:solidFill>
              <a:round/>
            </a:ln>
          </c:spPr>
        </c:minorGridlines>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59572620"/>
        <c:crosses val="autoZero"/>
        <c:auto val="1"/>
        <c:lblAlgn val="ctr"/>
        <c:lblOffset val="100"/>
      </c:catAx>
      <c:valAx>
        <c:axId val="59572620"/>
        <c:scaling>
          <c:orientation val="minMax"/>
        </c:scaling>
        <c:delete val="0"/>
        <c:axPos val="l"/>
        <c:majorGridlines>
          <c:spPr>
            <a:ln w="9360">
              <a:solidFill>
                <a:srgbClr val="d9d9d9">
                  <a:alpha val="54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4959955"/>
        <c:crosses val="autoZero"/>
        <c:crossBetween val="midCat"/>
      </c:valAx>
      <c:spPr>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404040"/>
                </a:solidFill>
                <a:latin typeface="Calibri"/>
              </a:defRPr>
            </a:pPr>
            <a:r>
              <a:rPr b="1" sz="1600" spc="-1" strike="noStrike">
                <a:solidFill>
                  <a:srgbClr val="404040"/>
                </a:solidFill>
                <a:latin typeface="Calibri"/>
              </a:rPr>
              <a:t>BTK összesített jelentkezőinek összesített adatai
(2015-2018)</a:t>
            </a:r>
          </a:p>
        </c:rich>
      </c:tx>
      <c:overlay val="0"/>
      <c:spPr>
        <a:noFill/>
        <a:ln>
          <a:noFill/>
        </a:ln>
      </c:spPr>
    </c:title>
    <c:autoTitleDeleted val="0"/>
    <c:plotArea>
      <c:barChart>
        <c:barDir val="bar"/>
        <c:grouping val="clustered"/>
        <c:varyColors val="0"/>
        <c:ser>
          <c:idx val="0"/>
          <c:order val="0"/>
          <c:tx>
            <c:strRef>
              <c:f>label 0</c:f>
              <c:strCache>
                <c:ptCount val="1"/>
                <c:pt idx="0">
                  <c:v>Összes jelentkező</c:v>
                </c:pt>
              </c:strCache>
            </c:strRef>
          </c:tx>
          <c:spPr>
            <a:solidFill>
              <a:srgbClr val="70ad47">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0</c:f>
              <c:numCache>
                <c:formatCode>General</c:formatCode>
                <c:ptCount val="4"/>
                <c:pt idx="0">
                  <c:v>1420</c:v>
                </c:pt>
                <c:pt idx="1">
                  <c:v>1616</c:v>
                </c:pt>
                <c:pt idx="2">
                  <c:v>1866</c:v>
                </c:pt>
                <c:pt idx="3">
                  <c:v>1989</c:v>
                </c:pt>
              </c:numCache>
            </c:numRef>
          </c:val>
        </c:ser>
        <c:ser>
          <c:idx val="1"/>
          <c:order val="1"/>
          <c:tx>
            <c:strRef>
              <c:f>label 1</c:f>
              <c:strCache>
                <c:ptCount val="1"/>
                <c:pt idx="0">
                  <c:v>Első helyes jelentkező</c:v>
                </c:pt>
              </c:strCache>
            </c:strRef>
          </c:tx>
          <c:spPr>
            <a:solidFill>
              <a:srgbClr val="4472c4">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1</c:f>
              <c:numCache>
                <c:formatCode>General</c:formatCode>
                <c:ptCount val="4"/>
                <c:pt idx="0">
                  <c:v>381</c:v>
                </c:pt>
                <c:pt idx="1">
                  <c:v>460</c:v>
                </c:pt>
                <c:pt idx="2">
                  <c:v>565</c:v>
                </c:pt>
                <c:pt idx="3">
                  <c:v>614</c:v>
                </c:pt>
              </c:numCache>
            </c:numRef>
          </c:val>
        </c:ser>
        <c:ser>
          <c:idx val="2"/>
          <c:order val="2"/>
          <c:tx>
            <c:strRef>
              <c:f>label 2</c:f>
              <c:strCache>
                <c:ptCount val="1"/>
                <c:pt idx="0">
                  <c:v>Felvett hallgató</c:v>
                </c:pt>
              </c:strCache>
            </c:strRef>
          </c:tx>
          <c:spPr>
            <a:solidFill>
              <a:srgbClr val="ffc000">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4"/>
                <c:pt idx="0">
                  <c:v>2015</c:v>
                </c:pt>
                <c:pt idx="1">
                  <c:v>2016</c:v>
                </c:pt>
                <c:pt idx="2">
                  <c:v>2017</c:v>
                </c:pt>
                <c:pt idx="3">
                  <c:v>2018</c:v>
                </c:pt>
              </c:strCache>
            </c:strRef>
          </c:cat>
          <c:val>
            <c:numRef>
              <c:f>2</c:f>
              <c:numCache>
                <c:formatCode>General</c:formatCode>
                <c:ptCount val="4"/>
                <c:pt idx="0">
                  <c:v>309</c:v>
                </c:pt>
                <c:pt idx="1">
                  <c:v>344</c:v>
                </c:pt>
                <c:pt idx="2">
                  <c:v>396</c:v>
                </c:pt>
                <c:pt idx="3">
                  <c:v>455</c:v>
                </c:pt>
              </c:numCache>
            </c:numRef>
          </c:val>
        </c:ser>
        <c:gapWidth val="65"/>
        <c:overlap val="0"/>
        <c:axId val="4754880"/>
        <c:axId val="31815659"/>
      </c:barChart>
      <c:catAx>
        <c:axId val="4754880"/>
        <c:scaling>
          <c:orientation val="minMax"/>
        </c:scaling>
        <c:delete val="0"/>
        <c:axPos val="b"/>
        <c:numFmt formatCode="YYYY\-MM\-DD"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31815659"/>
        <c:crosses val="autoZero"/>
        <c:auto val="1"/>
        <c:lblAlgn val="ctr"/>
        <c:lblOffset val="100"/>
      </c:catAx>
      <c:valAx>
        <c:axId val="31815659"/>
        <c:scaling>
          <c:orientation val="minMax"/>
        </c:scaling>
        <c:delete val="0"/>
        <c:axPos val="l"/>
        <c:majorGridlines>
          <c:spPr>
            <a:ln w="9360">
              <a:solidFill>
                <a:srgbClr val="bfbfbf">
                  <a:alpha val="36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04040"/>
                </a:solidFill>
                <a:latin typeface="Calibri"/>
              </a:defRPr>
            </a:pPr>
          </a:p>
        </c:txPr>
        <c:crossAx val="4754880"/>
        <c:crosses val="autoZero"/>
      </c:valAx>
      <c:spPr>
        <a:noFill/>
        <a:ln>
          <a:noFill/>
        </a:ln>
      </c:spPr>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17" strike="noStrike">
                <a:solidFill>
                  <a:srgbClr val="595959"/>
                </a:solidFill>
                <a:latin typeface="Calibri"/>
              </a:defRPr>
            </a:pPr>
            <a:r>
              <a:rPr b="1" sz="1600" spc="117" strike="noStrike">
                <a:solidFill>
                  <a:srgbClr val="595959"/>
                </a:solidFill>
                <a:latin typeface="Calibri"/>
              </a:rPr>
              <a:t>A BTK-ra jelentkezők képzési szint választása (2015-18)
</a:t>
            </a:r>
          </a:p>
        </c:rich>
      </c:tx>
      <c:overlay val="0"/>
      <c:spPr>
        <a:noFill/>
        <a:ln>
          <a:noFill/>
        </a:ln>
      </c:spPr>
    </c:title>
    <c:autoTitleDeleted val="0"/>
    <c:plotArea>
      <c:barChart>
        <c:barDir val="col"/>
        <c:grouping val="clustered"/>
        <c:varyColors val="0"/>
        <c:ser>
          <c:idx val="0"/>
          <c:order val="0"/>
          <c:tx>
            <c:strRef>
              <c:f>label 0</c:f>
              <c:strCache>
                <c:ptCount val="1"/>
                <c:pt idx="0">
                  <c:v>Alap</c:v>
                </c:pt>
              </c:strCache>
            </c:strRef>
          </c:tx>
          <c:spPr>
            <a:solidFill>
              <a:srgbClr val="5b9bd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0</c:f>
              <c:numCache>
                <c:formatCode>General</c:formatCode>
                <c:ptCount val="12"/>
                <c:pt idx="0">
                  <c:v>879</c:v>
                </c:pt>
                <c:pt idx="1">
                  <c:v>224</c:v>
                </c:pt>
                <c:pt idx="2">
                  <c:v>193</c:v>
                </c:pt>
                <c:pt idx="3">
                  <c:v>930</c:v>
                </c:pt>
                <c:pt idx="4">
                  <c:v>251</c:v>
                </c:pt>
                <c:pt idx="5">
                  <c:v>170</c:v>
                </c:pt>
                <c:pt idx="6">
                  <c:v>859</c:v>
                </c:pt>
                <c:pt idx="7">
                  <c:v>253</c:v>
                </c:pt>
                <c:pt idx="8">
                  <c:v>167</c:v>
                </c:pt>
                <c:pt idx="9">
                  <c:v>912</c:v>
                </c:pt>
                <c:pt idx="10">
                  <c:v>273</c:v>
                </c:pt>
                <c:pt idx="11">
                  <c:v>210</c:v>
                </c:pt>
              </c:numCache>
            </c:numRef>
          </c:val>
        </c:ser>
        <c:ser>
          <c:idx val="1"/>
          <c:order val="1"/>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2"/>
          <c:order val="2"/>
          <c:spPr>
            <a:solidFill>
              <a:srgbClr val="a5a5a5"/>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3"/>
          <c:order val="3"/>
          <c:tx>
            <c:strRef>
              <c:f>label 1</c:f>
              <c:strCache>
                <c:ptCount val="1"/>
                <c:pt idx="0">
                  <c:v>Mester</c:v>
                </c:pt>
              </c:strCache>
            </c:strRef>
          </c:tx>
          <c:spPr>
            <a:solidFill>
              <a:srgbClr val="ffc000"/>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1</c:f>
              <c:numCache>
                <c:formatCode>General</c:formatCode>
                <c:ptCount val="12"/>
                <c:pt idx="0">
                  <c:v>86</c:v>
                </c:pt>
                <c:pt idx="1">
                  <c:v>30</c:v>
                </c:pt>
                <c:pt idx="2">
                  <c:v>17</c:v>
                </c:pt>
                <c:pt idx="3">
                  <c:v>131</c:v>
                </c:pt>
                <c:pt idx="4">
                  <c:v>45</c:v>
                </c:pt>
                <c:pt idx="5">
                  <c:v>32</c:v>
                </c:pt>
                <c:pt idx="6">
                  <c:v>120</c:v>
                </c:pt>
                <c:pt idx="7">
                  <c:v>52</c:v>
                </c:pt>
                <c:pt idx="8">
                  <c:v>25</c:v>
                </c:pt>
                <c:pt idx="9">
                  <c:v>132</c:v>
                </c:pt>
                <c:pt idx="10">
                  <c:v>44</c:v>
                </c:pt>
                <c:pt idx="11">
                  <c:v>104</c:v>
                </c:pt>
              </c:numCache>
            </c:numRef>
          </c:val>
        </c:ser>
        <c:ser>
          <c:idx val="4"/>
          <c:order val="4"/>
          <c:spPr>
            <a:solidFill>
              <a:srgbClr val="4472c4"/>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5"/>
          <c:order val="5"/>
          <c:spPr>
            <a:solidFill>
              <a:srgbClr val="70ad47"/>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6"/>
          <c:order val="6"/>
          <c:tx>
            <c:strRef>
              <c:f>label 2</c:f>
              <c:strCache>
                <c:ptCount val="1"/>
                <c:pt idx="0">
                  <c:v>FOSZ</c:v>
                </c:pt>
              </c:strCache>
            </c:strRef>
          </c:tx>
          <c:spPr>
            <a:solidFill>
              <a:srgbClr val="255e9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2</c:f>
              <c:numCache>
                <c:formatCode>General</c:formatCode>
                <c:ptCount val="12"/>
                <c:pt idx="0">
                  <c:v>78</c:v>
                </c:pt>
                <c:pt idx="1">
                  <c:v>16</c:v>
                </c:pt>
                <c:pt idx="2">
                  <c:v>19</c:v>
                </c:pt>
                <c:pt idx="3">
                  <c:v>93</c:v>
                </c:pt>
                <c:pt idx="4">
                  <c:v>16</c:v>
                </c:pt>
                <c:pt idx="5">
                  <c:v>12</c:v>
                </c:pt>
                <c:pt idx="6">
                  <c:v>85</c:v>
                </c:pt>
                <c:pt idx="7">
                  <c:v>16</c:v>
                </c:pt>
                <c:pt idx="8">
                  <c:v>31</c:v>
                </c:pt>
                <c:pt idx="9">
                  <c:v>95</c:v>
                </c:pt>
                <c:pt idx="10">
                  <c:v>18</c:v>
                </c:pt>
                <c:pt idx="11">
                  <c:v>40</c:v>
                </c:pt>
              </c:numCache>
            </c:numRef>
          </c:val>
        </c:ser>
        <c:ser>
          <c:idx val="7"/>
          <c:order val="7"/>
          <c:spPr>
            <a:solidFill>
              <a:srgbClr val="9e480e"/>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8"/>
          <c:order val="8"/>
          <c:spPr>
            <a:solidFill>
              <a:srgbClr val="636363"/>
            </a:solidFill>
            <a:ln>
              <a:noFill/>
            </a:ln>
          </c:spPr>
          <c:invertIfNegative val="0"/>
          <c:cat>
            <c:strRef>
              <c:f>categories</c:f>
              <c:strCache>
                <c:ptCount val="12"/>
                <c:pt idx="0">
                  <c:v/>
                </c:pt>
                <c:pt idx="1">
                  <c:v/>
                </c:pt>
                <c:pt idx="2">
                  <c:v/>
                </c:pt>
                <c:pt idx="3">
                  <c:v/>
                </c:pt>
                <c:pt idx="4">
                  <c:v/>
                </c:pt>
                <c:pt idx="5">
                  <c:v/>
                </c:pt>
                <c:pt idx="6">
                  <c:v/>
                </c:pt>
                <c:pt idx="7">
                  <c:v/>
                </c:pt>
                <c:pt idx="8">
                  <c:v/>
                </c:pt>
                <c:pt idx="9">
                  <c:v/>
                </c:pt>
                <c:pt idx="10">
                  <c:v/>
                </c:pt>
                <c:pt idx="11">
                  <c:v/>
                </c:pt>
              </c:strCache>
            </c:strRef>
          </c:cat>
        </c:ser>
        <c:ser>
          <c:idx val="9"/>
          <c:order val="9"/>
          <c:tx>
            <c:strRef>
              <c:f>label 3</c:f>
              <c:strCache>
                <c:ptCount val="1"/>
                <c:pt idx="0">
                  <c:v>Osztatlan</c:v>
                </c:pt>
              </c:strCache>
            </c:strRef>
          </c:tx>
          <c:spPr>
            <a:solidFill>
              <a:srgbClr val="ed7d31"/>
            </a:solidFill>
            <a:ln>
              <a:noFill/>
            </a:ln>
          </c:spPr>
          <c:invertIfNegative val="0"/>
          <c:dLbls>
            <c:numFmt formatCode="General" sourceLinked="1"/>
            <c:txPr>
              <a:bodyPr rot="-5400000"/>
              <a:lstStyle/>
              <a:p>
                <a:pPr>
                  <a:defRPr b="0" sz="800" spc="-1" strike="noStrike">
                    <a:solidFill>
                      <a:srgbClr val="808080"/>
                    </a:solidFill>
                    <a:latin typeface="Calibri"/>
                  </a:defRPr>
                </a:pPr>
              </a:p>
            </c:txPr>
            <c:dLblPos val="outEnd"/>
            <c:showLegendKey val="0"/>
            <c:showVal val="1"/>
            <c:showCatName val="0"/>
            <c:showSerName val="0"/>
            <c:showPercent val="0"/>
            <c:showLeaderLines val="0"/>
          </c:dLbls>
          <c:cat>
            <c:strRef>
              <c:f>categories</c:f>
              <c:strCache>
                <c:ptCount val="12"/>
                <c:pt idx="0">
                  <c:v/>
                </c:pt>
                <c:pt idx="1">
                  <c:v/>
                </c:pt>
                <c:pt idx="2">
                  <c:v/>
                </c:pt>
                <c:pt idx="3">
                  <c:v/>
                </c:pt>
                <c:pt idx="4">
                  <c:v/>
                </c:pt>
                <c:pt idx="5">
                  <c:v/>
                </c:pt>
                <c:pt idx="6">
                  <c:v/>
                </c:pt>
                <c:pt idx="7">
                  <c:v/>
                </c:pt>
                <c:pt idx="8">
                  <c:v/>
                </c:pt>
                <c:pt idx="9">
                  <c:v/>
                </c:pt>
                <c:pt idx="10">
                  <c:v/>
                </c:pt>
                <c:pt idx="11">
                  <c:v/>
                </c:pt>
              </c:strCache>
            </c:strRef>
          </c:cat>
          <c:val>
            <c:numRef>
              <c:f>3</c:f>
              <c:numCache>
                <c:formatCode>General</c:formatCode>
                <c:ptCount val="12"/>
                <c:pt idx="0">
                  <c:v>488</c:v>
                </c:pt>
                <c:pt idx="1">
                  <c:v>141</c:v>
                </c:pt>
                <c:pt idx="2">
                  <c:v>108</c:v>
                </c:pt>
                <c:pt idx="3">
                  <c:v>592</c:v>
                </c:pt>
                <c:pt idx="4">
                  <c:v>176</c:v>
                </c:pt>
                <c:pt idx="5">
                  <c:v>150</c:v>
                </c:pt>
                <c:pt idx="6">
                  <c:v>946</c:v>
                </c:pt>
                <c:pt idx="7">
                  <c:v>281</c:v>
                </c:pt>
                <c:pt idx="8">
                  <c:v>218</c:v>
                </c:pt>
                <c:pt idx="9">
                  <c:v>850</c:v>
                </c:pt>
                <c:pt idx="10">
                  <c:v>279</c:v>
                </c:pt>
                <c:pt idx="11">
                  <c:v>101</c:v>
                </c:pt>
              </c:numCache>
            </c:numRef>
          </c:val>
        </c:ser>
        <c:gapWidth val="444"/>
        <c:overlap val="-90"/>
        <c:axId val="51973924"/>
        <c:axId val="11421926"/>
      </c:barChart>
      <c:catAx>
        <c:axId val="51973924"/>
        <c:scaling>
          <c:orientation val="minMax"/>
        </c:scaling>
        <c:delete val="0"/>
        <c:axPos val="b"/>
        <c:majorGridlines>
          <c:spPr>
            <a:ln w="9360">
              <a:solidFill>
                <a:srgbClr val="d9d9d9"/>
              </a:solidFill>
              <a:round/>
            </a:ln>
          </c:spPr>
        </c:majorGridlines>
        <c:numFmt formatCode="YYYY\-MM\-DD" sourceLinked="1"/>
        <c:majorTickMark val="none"/>
        <c:minorTickMark val="none"/>
        <c:tickLblPos val="nextTo"/>
        <c:spPr>
          <a:ln w="9360">
            <a:solidFill>
              <a:srgbClr val="d9d9d9"/>
            </a:solidFill>
            <a:round/>
          </a:ln>
        </c:spPr>
        <c:txPr>
          <a:bodyPr/>
          <a:lstStyle/>
          <a:p>
            <a:pPr>
              <a:defRPr b="0" sz="800" spc="117" strike="noStrike">
                <a:solidFill>
                  <a:srgbClr val="595959"/>
                </a:solidFill>
                <a:latin typeface="Calibri"/>
              </a:defRPr>
            </a:pPr>
          </a:p>
        </c:txPr>
        <c:crossAx val="11421926"/>
        <c:crosses val="autoZero"/>
        <c:auto val="1"/>
        <c:lblAlgn val="ctr"/>
        <c:lblOffset val="100"/>
      </c:catAx>
      <c:valAx>
        <c:axId val="11421926"/>
        <c:scaling>
          <c:orientation val="minMax"/>
        </c:scaling>
        <c:delete val="1"/>
        <c:axPos val="l"/>
        <c:numFmt formatCode="General" sourceLinked="0"/>
        <c:majorTickMark val="none"/>
        <c:minorTickMark val="none"/>
        <c:tickLblPos val="nextTo"/>
        <c:spPr>
          <a:ln w="6480">
            <a:solidFill>
              <a:srgbClr val="8b8b8b"/>
            </a:solidFill>
            <a:round/>
          </a:ln>
        </c:spPr>
        <c:txPr>
          <a:bodyPr/>
          <a:lstStyle/>
          <a:p>
            <a:pPr>
              <a:defRPr b="0" sz="1000" spc="-1" strike="noStrike">
                <a:solidFill>
                  <a:srgbClr val="000000"/>
                </a:solidFill>
                <a:latin typeface="Calibri"/>
              </a:defRPr>
            </a:pPr>
          </a:p>
        </c:txPr>
        <c:crossAx val="51973924"/>
        <c:crosses val="autoZero"/>
      </c:valAx>
      <c:spPr>
        <a:noFill/>
        <a:ln>
          <a:noFill/>
        </a:ln>
      </c:spPr>
    </c:plotArea>
    <c:legend>
      <c:layout>
        <c:manualLayout>
          <c:xMode val="edge"/>
          <c:yMode val="edge"/>
          <c:x val="0.3225"/>
          <c:y val="0.180333333333333"/>
          <c:w val="0.354959684980311"/>
          <c:h val="0.0601177908656517"/>
        </c:manualLayout>
      </c:layout>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BTK-ra jelentkezett hallgatók képzési területenkénti megoszlása
(2015-2018)</a:t>
            </a:r>
          </a:p>
        </c:rich>
      </c:tx>
      <c:overlay val="0"/>
      <c:spPr>
        <a:noFill/>
        <a:ln>
          <a:noFill/>
        </a:ln>
      </c:spPr>
    </c:title>
    <c:autoTitleDeleted val="0"/>
    <c:plotArea>
      <c:lineChart>
        <c:grouping val="standard"/>
        <c:varyColors val="0"/>
        <c:ser>
          <c:idx val="0"/>
          <c:order val="0"/>
          <c:tx>
            <c:strRef>
              <c:f>label 0</c:f>
              <c:strCache>
                <c:ptCount val="1"/>
                <c:pt idx="0">
                  <c:v>Bölcs</c:v>
                </c:pt>
              </c:strCache>
            </c:strRef>
          </c:tx>
          <c:spPr>
            <a:solidFill>
              <a:srgbClr val="5b9bd5"/>
            </a:solidFill>
            <a:ln w="28440">
              <a:solidFill>
                <a:srgbClr val="5b9bd5"/>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0</c:f>
              <c:numCache>
                <c:formatCode>General</c:formatCode>
                <c:ptCount val="11"/>
                <c:pt idx="0">
                  <c:v>494</c:v>
                </c:pt>
                <c:pt idx="1">
                  <c:v>102</c:v>
                </c:pt>
                <c:pt idx="2">
                  <c:v>78</c:v>
                </c:pt>
                <c:pt idx="3">
                  <c:v>509</c:v>
                </c:pt>
                <c:pt idx="4">
                  <c:v>104</c:v>
                </c:pt>
                <c:pt idx="5">
                  <c:v>78</c:v>
                </c:pt>
                <c:pt idx="6">
                  <c:v>439</c:v>
                </c:pt>
                <c:pt idx="7">
                  <c:v>118</c:v>
                </c:pt>
                <c:pt idx="8">
                  <c:v>82</c:v>
                </c:pt>
                <c:pt idx="9">
                  <c:v>454</c:v>
                </c:pt>
                <c:pt idx="10">
                  <c:v>108</c:v>
                </c:pt>
              </c:numCache>
            </c:numRef>
          </c:val>
          <c:smooth val="0"/>
        </c:ser>
        <c:ser>
          <c:idx val="1"/>
          <c:order val="1"/>
          <c:tx>
            <c:strRef>
              <c:f>label 1</c:f>
              <c:strCache>
                <c:ptCount val="1"/>
                <c:pt idx="0">
                  <c:v>Műv</c:v>
                </c:pt>
              </c:strCache>
            </c:strRef>
          </c:tx>
          <c:spPr>
            <a:solidFill>
              <a:srgbClr val="ed7d31"/>
            </a:solidFill>
            <a:ln w="28440">
              <a:solidFill>
                <a:srgbClr val="ed7d31"/>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1</c:f>
              <c:numCache>
                <c:formatCode>General</c:formatCode>
                <c:ptCount val="11"/>
                <c:pt idx="0">
                  <c:v>78</c:v>
                </c:pt>
                <c:pt idx="1">
                  <c:v>16</c:v>
                </c:pt>
                <c:pt idx="2">
                  <c:v>19</c:v>
                </c:pt>
                <c:pt idx="3">
                  <c:v>93</c:v>
                </c:pt>
                <c:pt idx="4">
                  <c:v>16</c:v>
                </c:pt>
                <c:pt idx="5">
                  <c:v>12</c:v>
                </c:pt>
                <c:pt idx="6">
                  <c:v>85</c:v>
                </c:pt>
                <c:pt idx="7">
                  <c:v>16</c:v>
                </c:pt>
                <c:pt idx="8">
                  <c:v>31</c:v>
                </c:pt>
                <c:pt idx="9">
                  <c:v>95</c:v>
                </c:pt>
                <c:pt idx="10">
                  <c:v>18</c:v>
                </c:pt>
              </c:numCache>
            </c:numRef>
          </c:val>
          <c:smooth val="0"/>
        </c:ser>
        <c:ser>
          <c:idx val="2"/>
          <c:order val="2"/>
          <c:tx>
            <c:strRef>
              <c:f>label 2</c:f>
              <c:strCache>
                <c:ptCount val="1"/>
                <c:pt idx="0">
                  <c:v>Művk</c:v>
                </c:pt>
              </c:strCache>
            </c:strRef>
          </c:tx>
          <c:spPr>
            <a:solidFill>
              <a:srgbClr val="a5a5a5"/>
            </a:solidFill>
            <a:ln w="28440">
              <a:solidFill>
                <a:srgbClr val="a5a5a5"/>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2</c:f>
              <c:numCache>
                <c:formatCode>General</c:formatCode>
                <c:ptCount val="11"/>
                <c:pt idx="0">
                  <c:v>471</c:v>
                </c:pt>
                <c:pt idx="1">
                  <c:v>152</c:v>
                </c:pt>
                <c:pt idx="2">
                  <c:v>132</c:v>
                </c:pt>
                <c:pt idx="3">
                  <c:v>552</c:v>
                </c:pt>
                <c:pt idx="4">
                  <c:v>192</c:v>
                </c:pt>
                <c:pt idx="5">
                  <c:v>124</c:v>
                </c:pt>
                <c:pt idx="6">
                  <c:v>540</c:v>
                </c:pt>
                <c:pt idx="7">
                  <c:v>187</c:v>
                </c:pt>
                <c:pt idx="8">
                  <c:v>110</c:v>
                </c:pt>
                <c:pt idx="9">
                  <c:v>590</c:v>
                </c:pt>
                <c:pt idx="10">
                  <c:v>209</c:v>
                </c:pt>
              </c:numCache>
            </c:numRef>
          </c:val>
          <c:smooth val="0"/>
        </c:ser>
        <c:ser>
          <c:idx val="3"/>
          <c:order val="3"/>
          <c:tx>
            <c:strRef>
              <c:f>label 3</c:f>
              <c:strCache>
                <c:ptCount val="1"/>
                <c:pt idx="0">
                  <c:v>Ped</c:v>
                </c:pt>
              </c:strCache>
            </c:strRef>
          </c:tx>
          <c:spPr>
            <a:solidFill>
              <a:srgbClr val="ffc000"/>
            </a:solidFill>
            <a:ln w="28440">
              <a:solidFill>
                <a:srgbClr val="ffc000"/>
              </a:solidFill>
              <a:round/>
            </a:ln>
          </c:spPr>
          <c:marker>
            <c:symbol val="none"/>
          </c:marker>
          <c:dLbls>
            <c:numFmt formatCode="General" sourceLinked="1"/>
            <c:txPr>
              <a:bodyPr/>
              <a:lstStyle/>
              <a:p>
                <a:pPr>
                  <a:defRPr b="0" sz="1000" spc="-1" strike="noStrike">
                    <a:solidFill>
                      <a:srgbClr val="000000"/>
                    </a:solidFill>
                    <a:latin typeface="Calibri"/>
                  </a:defRPr>
                </a:pPr>
              </a:p>
            </c:txPr>
            <c:dLblPos val="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3</c:f>
              <c:numCache>
                <c:formatCode>General</c:formatCode>
                <c:ptCount val="11"/>
                <c:pt idx="0">
                  <c:v>488</c:v>
                </c:pt>
                <c:pt idx="1">
                  <c:v>141</c:v>
                </c:pt>
                <c:pt idx="2">
                  <c:v>108</c:v>
                </c:pt>
                <c:pt idx="3">
                  <c:v>592</c:v>
                </c:pt>
                <c:pt idx="4">
                  <c:v>176</c:v>
                </c:pt>
                <c:pt idx="5">
                  <c:v>150</c:v>
                </c:pt>
                <c:pt idx="6">
                  <c:v>946</c:v>
                </c:pt>
                <c:pt idx="7">
                  <c:v>281</c:v>
                </c:pt>
                <c:pt idx="8">
                  <c:v>218</c:v>
                </c:pt>
                <c:pt idx="9">
                  <c:v>850</c:v>
                </c:pt>
                <c:pt idx="10">
                  <c:v>279</c:v>
                </c:pt>
              </c:numCache>
            </c:numRef>
          </c:val>
          <c:smooth val="0"/>
        </c:ser>
        <c:hiLowLines>
          <c:spPr>
            <a:ln>
              <a:noFill/>
            </a:ln>
          </c:spPr>
        </c:hiLowLines>
        <c:marker val="0"/>
        <c:axId val="78719667"/>
        <c:axId val="3741840"/>
      </c:lineChart>
      <c:catAx>
        <c:axId val="78719667"/>
        <c:scaling>
          <c:orientation val="minMax"/>
        </c:scaling>
        <c:delete val="0"/>
        <c:axPos val="b"/>
        <c:numFmt formatCode="YYYY\-MM\-DD"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3741840"/>
        <c:crosses val="autoZero"/>
        <c:auto val="1"/>
        <c:lblAlgn val="ctr"/>
        <c:lblOffset val="100"/>
      </c:catAx>
      <c:valAx>
        <c:axId val="374184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78719667"/>
        <c:crosses val="autoZero"/>
        <c:crossBetween val="midCat"/>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404040"/>
                </a:solidFill>
                <a:latin typeface="Calibri"/>
              </a:defRPr>
            </a:pPr>
            <a:r>
              <a:rPr b="1" sz="1600" spc="-1" strike="noStrike">
                <a:solidFill>
                  <a:srgbClr val="404040"/>
                </a:solidFill>
                <a:latin typeface="Calibri"/>
              </a:rPr>
              <a:t>GTK jelentkezőinek összesített adatai (2015-18)</a:t>
            </a:r>
          </a:p>
        </c:rich>
      </c:tx>
      <c:overlay val="0"/>
      <c:spPr>
        <a:noFill/>
        <a:ln>
          <a:noFill/>
        </a:ln>
      </c:spPr>
    </c:title>
    <c:autoTitleDeleted val="0"/>
    <c:plotArea>
      <c:barChart>
        <c:barDir val="bar"/>
        <c:grouping val="clustered"/>
        <c:varyColors val="0"/>
        <c:ser>
          <c:idx val="0"/>
          <c:order val="0"/>
          <c:tx>
            <c:strRef>
              <c:f>label 0</c:f>
              <c:strCache>
                <c:ptCount val="1"/>
                <c:pt idx="0">
                  <c:v>2015</c:v>
                </c:pt>
              </c:strCache>
            </c:strRef>
          </c:tx>
          <c:spPr>
            <a:solidFill>
              <a:srgbClr val="7030a0"/>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0</c:f>
              <c:numCache>
                <c:formatCode>General</c:formatCode>
                <c:ptCount val="3"/>
                <c:pt idx="0">
                  <c:v>2523</c:v>
                </c:pt>
                <c:pt idx="1">
                  <c:v>580</c:v>
                </c:pt>
                <c:pt idx="2">
                  <c:v>420</c:v>
                </c:pt>
              </c:numCache>
            </c:numRef>
          </c:val>
        </c:ser>
        <c:ser>
          <c:idx val="1"/>
          <c:order val="1"/>
          <c:tx>
            <c:strRef>
              <c:f>label 1</c:f>
              <c:strCache>
                <c:ptCount val="1"/>
                <c:pt idx="0">
                  <c:v>2016</c:v>
                </c:pt>
              </c:strCache>
            </c:strRef>
          </c:tx>
          <c:spPr>
            <a:solidFill>
              <a:srgbClr val="ed7d31">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1</c:f>
              <c:numCache>
                <c:formatCode>General</c:formatCode>
                <c:ptCount val="3"/>
                <c:pt idx="0">
                  <c:v>3238</c:v>
                </c:pt>
                <c:pt idx="1">
                  <c:v>776</c:v>
                </c:pt>
                <c:pt idx="2">
                  <c:v>511</c:v>
                </c:pt>
              </c:numCache>
            </c:numRef>
          </c:val>
        </c:ser>
        <c:ser>
          <c:idx val="2"/>
          <c:order val="2"/>
          <c:tx>
            <c:strRef>
              <c:f>label 2</c:f>
              <c:strCache>
                <c:ptCount val="1"/>
                <c:pt idx="0">
                  <c:v>2017</c:v>
                </c:pt>
              </c:strCache>
            </c:strRef>
          </c:tx>
          <c:spPr>
            <a:solidFill>
              <a:srgbClr val="548235"/>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2</c:f>
              <c:numCache>
                <c:formatCode>General</c:formatCode>
                <c:ptCount val="3"/>
                <c:pt idx="0">
                  <c:v>2733</c:v>
                </c:pt>
                <c:pt idx="1">
                  <c:v>682</c:v>
                </c:pt>
                <c:pt idx="2">
                  <c:v>472</c:v>
                </c:pt>
              </c:numCache>
            </c:numRef>
          </c:val>
        </c:ser>
        <c:ser>
          <c:idx val="3"/>
          <c:order val="3"/>
          <c:tx>
            <c:strRef>
              <c:f>label 3</c:f>
              <c:strCache>
                <c:ptCount val="1"/>
                <c:pt idx="0">
                  <c:v>2018</c:v>
                </c:pt>
              </c:strCache>
            </c:strRef>
          </c:tx>
          <c:spPr>
            <a:solidFill>
              <a:srgbClr val="ffc000">
                <a:alpha val="85000"/>
              </a:srgbClr>
            </a:solidFill>
            <a:ln w="9360">
              <a:solidFill>
                <a:srgbClr val="ffffff">
                  <a:alpha val="50000"/>
                </a:srgbClr>
              </a:solidFill>
              <a:round/>
            </a:ln>
          </c:spPr>
          <c:invertIfNegative val="0"/>
          <c:dLbls>
            <c:numFmt formatCode="General" sourceLinked="1"/>
            <c:txPr>
              <a:bodyPr/>
              <a:lstStyle/>
              <a:p>
                <a:pPr>
                  <a:defRPr b="1" sz="900" spc="-1" strike="noStrike">
                    <a:solidFill>
                      <a:srgbClr val="ffffff"/>
                    </a:solidFill>
                    <a:latin typeface="Calibri"/>
                  </a:defRPr>
                </a:pPr>
              </a:p>
            </c:txPr>
            <c:dLblPos val="inEnd"/>
            <c:showLegendKey val="0"/>
            <c:showVal val="1"/>
            <c:showCatName val="0"/>
            <c:showSerName val="0"/>
            <c:showPercent val="0"/>
            <c:showLeaderLines val="0"/>
          </c:dLbls>
          <c:cat>
            <c:strRef>
              <c:f>categories</c:f>
              <c:strCache>
                <c:ptCount val="3"/>
                <c:pt idx="0">
                  <c:v>Összes jelentkező</c:v>
                </c:pt>
                <c:pt idx="1">
                  <c:v>Első helyes jelentkező</c:v>
                </c:pt>
                <c:pt idx="2">
                  <c:v>Felvett hallgató</c:v>
                </c:pt>
              </c:strCache>
            </c:strRef>
          </c:cat>
          <c:val>
            <c:numRef>
              <c:f>3</c:f>
              <c:numCache>
                <c:formatCode>General</c:formatCode>
                <c:ptCount val="3"/>
                <c:pt idx="0">
                  <c:v>2647</c:v>
                </c:pt>
                <c:pt idx="1">
                  <c:v>699</c:v>
                </c:pt>
                <c:pt idx="2">
                  <c:v>524</c:v>
                </c:pt>
              </c:numCache>
            </c:numRef>
          </c:val>
        </c:ser>
        <c:gapWidth val="65"/>
        <c:overlap val="0"/>
        <c:axId val="39551828"/>
        <c:axId val="35774161"/>
      </c:barChart>
      <c:catAx>
        <c:axId val="39551828"/>
        <c:scaling>
          <c:orientation val="minMax"/>
        </c:scaling>
        <c:delete val="0"/>
        <c:axPos val="b"/>
        <c:numFmt formatCode="YYYY\-MM\-DD" sourceLinked="1"/>
        <c:majorTickMark val="none"/>
        <c:minorTickMark val="none"/>
        <c:tickLblPos val="nextTo"/>
        <c:spPr>
          <a:ln w="19080">
            <a:solidFill>
              <a:srgbClr val="404040"/>
            </a:solidFill>
            <a:round/>
          </a:ln>
        </c:spPr>
        <c:txPr>
          <a:bodyPr/>
          <a:lstStyle/>
          <a:p>
            <a:pPr>
              <a:defRPr b="0" sz="900" spc="-1" strike="noStrike">
                <a:solidFill>
                  <a:srgbClr val="404040"/>
                </a:solidFill>
                <a:latin typeface="Calibri"/>
              </a:defRPr>
            </a:pPr>
          </a:p>
        </c:txPr>
        <c:crossAx val="35774161"/>
        <c:crosses val="autoZero"/>
        <c:auto val="1"/>
        <c:lblAlgn val="ctr"/>
        <c:lblOffset val="100"/>
      </c:catAx>
      <c:valAx>
        <c:axId val="35774161"/>
        <c:scaling>
          <c:orientation val="minMax"/>
        </c:scaling>
        <c:delete val="0"/>
        <c:axPos val="l"/>
        <c:majorGridlines>
          <c:spPr>
            <a:ln w="9360">
              <a:solidFill>
                <a:srgbClr val="bfbfbf">
                  <a:alpha val="36000"/>
                </a:srgbClr>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04040"/>
                </a:solidFill>
                <a:latin typeface="Calibri"/>
              </a:defRPr>
            </a:pPr>
          </a:p>
        </c:txPr>
        <c:crossAx val="39551828"/>
        <c:crosses val="autoZero"/>
      </c:valAx>
      <c:spPr>
        <a:noFill/>
        <a:ln>
          <a:noFill/>
        </a:ln>
      </c:spPr>
    </c:plotArea>
    <c:legend>
      <c:legendPos val="b"/>
      <c:overlay val="0"/>
      <c:spPr>
        <a:solidFill>
          <a:srgbClr val="f2f2f2">
            <a:alpha val="39000"/>
          </a:srgbClr>
        </a:solidFill>
        <a:ln>
          <a:noFill/>
        </a:ln>
      </c:spPr>
      <c:txPr>
        <a:bodyPr/>
        <a:lstStyle/>
        <a:p>
          <a:pPr>
            <a:defRPr b="0" sz="900" spc="-1" strike="noStrike">
              <a:solidFill>
                <a:srgbClr val="404040"/>
              </a:solidFill>
              <a:latin typeface="Calibri"/>
            </a:defRPr>
          </a:pPr>
        </a:p>
      </c:txPr>
    </c:legend>
    <c:plotVisOnly val="1"/>
    <c:dispBlanksAs val="gap"/>
  </c:chart>
  <c:spPr>
    <a:gradFill>
      <a:gsLst>
        <a:gs pos="0">
          <a:srgbClr val="ffffff"/>
        </a:gs>
        <a:gs pos="100000">
          <a:srgbClr val="bfbfbf"/>
        </a:gs>
      </a:gsLst>
      <a:path path="circle">
        <a:fillToRect l="50000" t="10000" r="50000" b="90000"/>
      </a:path>
    </a:gradFill>
    <a:ln w="9360">
      <a:solidFill>
        <a:srgbClr val="bfbfbf"/>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44546a"/>
                </a:solidFill>
                <a:latin typeface="Calibri"/>
              </a:defRPr>
            </a:pPr>
            <a:r>
              <a:rPr b="1" sz="1600" spc="-1" strike="noStrike">
                <a:solidFill>
                  <a:srgbClr val="44546a"/>
                </a:solidFill>
                <a:latin typeface="Calibri"/>
              </a:rPr>
              <a:t>A GTK-ra jelentkezők képzési szint választása</a:t>
            </a:r>
          </a:p>
        </c:rich>
      </c:tx>
      <c:overlay val="0"/>
      <c:spPr>
        <a:noFill/>
        <a:ln>
          <a:noFill/>
        </a:ln>
      </c:spPr>
    </c:title>
    <c:autoTitleDeleted val="0"/>
    <c:plotArea>
      <c:barChart>
        <c:barDir val="col"/>
        <c:grouping val="stacked"/>
        <c:varyColors val="0"/>
        <c:ser>
          <c:idx val="0"/>
          <c:order val="0"/>
          <c:tx>
            <c:strRef>
              <c:f>label 0</c:f>
              <c:strCache>
                <c:ptCount val="1"/>
                <c:pt idx="0">
                  <c:v>alap</c:v>
                </c:pt>
              </c:strCache>
            </c:strRef>
          </c:tx>
          <c:spPr>
            <a:gradFill>
              <a:gsLst>
                <a:gs pos="0">
                  <a:srgbClr val="71a6da"/>
                </a:gs>
                <a:gs pos="100000">
                  <a:srgbClr val="549ada"/>
                </a:gs>
              </a:gsLst>
              <a:lin ang="5400000"/>
            </a:gra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0</c:f>
              <c:numCache>
                <c:formatCode>General</c:formatCode>
                <c:ptCount val="11"/>
                <c:pt idx="0">
                  <c:v>1754</c:v>
                </c:pt>
                <c:pt idx="1">
                  <c:v>399</c:v>
                </c:pt>
                <c:pt idx="2">
                  <c:v>214</c:v>
                </c:pt>
                <c:pt idx="3">
                  <c:v>2103</c:v>
                </c:pt>
                <c:pt idx="4">
                  <c:v>519</c:v>
                </c:pt>
                <c:pt idx="5">
                  <c:v>233</c:v>
                </c:pt>
                <c:pt idx="6">
                  <c:v>1590</c:v>
                </c:pt>
                <c:pt idx="7">
                  <c:v>406</c:v>
                </c:pt>
                <c:pt idx="8">
                  <c:v>160</c:v>
                </c:pt>
                <c:pt idx="9">
                  <c:v>1643</c:v>
                </c:pt>
                <c:pt idx="10">
                  <c:v>453</c:v>
                </c:pt>
              </c:numCache>
            </c:numRef>
          </c:val>
        </c:ser>
        <c:ser>
          <c:idx val="1"/>
          <c:order val="1"/>
          <c:tx>
            <c:strRef>
              <c:f>label 1</c:f>
              <c:strCache>
                <c:ptCount val="1"/>
                <c:pt idx="0">
                  <c:v>mester</c:v>
                </c:pt>
              </c:strCache>
            </c:strRef>
          </c:tx>
          <c:spPr>
            <a:gradFill>
              <a:gsLst>
                <a:gs pos="0">
                  <a:srgbClr val="f08c56"/>
                </a:gs>
                <a:gs pos="100000">
                  <a:srgbClr val="f57a27"/>
                </a:gs>
              </a:gsLst>
              <a:lin ang="5400000"/>
            </a:gra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1</c:f>
              <c:numCache>
                <c:formatCode>General</c:formatCode>
                <c:ptCount val="11"/>
                <c:pt idx="0">
                  <c:v>76</c:v>
                </c:pt>
                <c:pt idx="1">
                  <c:v>25</c:v>
                </c:pt>
                <c:pt idx="2">
                  <c:v>17</c:v>
                </c:pt>
                <c:pt idx="3">
                  <c:v>90</c:v>
                </c:pt>
                <c:pt idx="4">
                  <c:v>30</c:v>
                </c:pt>
                <c:pt idx="5">
                  <c:v>19</c:v>
                </c:pt>
                <c:pt idx="6">
                  <c:v>97</c:v>
                </c:pt>
                <c:pt idx="7">
                  <c:v>38</c:v>
                </c:pt>
                <c:pt idx="8">
                  <c:v>26</c:v>
                </c:pt>
                <c:pt idx="9">
                  <c:v>144</c:v>
                </c:pt>
                <c:pt idx="10">
                  <c:v>57</c:v>
                </c:pt>
              </c:numCache>
            </c:numRef>
          </c:val>
        </c:ser>
        <c:ser>
          <c:idx val="2"/>
          <c:order val="2"/>
          <c:tx>
            <c:strRef>
              <c:f>label 2</c:f>
              <c:strCache>
                <c:ptCount val="1"/>
                <c:pt idx="0">
                  <c:v>osztatlan</c:v>
                </c:pt>
              </c:strCache>
            </c:strRef>
          </c:tx>
          <c:spPr>
            <a:gradFill>
              <a:gsLst>
                <a:gs pos="0">
                  <a:srgbClr val="aeaeae"/>
                </a:gs>
                <a:gs pos="100000">
                  <a:srgbClr val="a4a4a4"/>
                </a:gs>
              </a:gsLst>
              <a:lin ang="5400000"/>
            </a:gra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2</c:f>
              <c:numCache>
                <c:formatCode>General</c:formatCode>
                <c:ptCount val="11"/>
                <c:pt idx="0">
                  <c:v>21</c:v>
                </c:pt>
                <c:pt idx="1">
                  <c:v>10</c:v>
                </c:pt>
                <c:pt idx="2">
                  <c:v>9</c:v>
                </c:pt>
                <c:pt idx="3">
                  <c:v>18</c:v>
                </c:pt>
                <c:pt idx="4">
                  <c:v>8</c:v>
                </c:pt>
                <c:pt idx="5">
                  <c:v>7</c:v>
                </c:pt>
                <c:pt idx="6">
                  <c:v>16</c:v>
                </c:pt>
                <c:pt idx="7">
                  <c:v>3</c:v>
                </c:pt>
                <c:pt idx="8">
                  <c:v>2</c:v>
                </c:pt>
                <c:pt idx="9">
                  <c:v>4</c:v>
                </c:pt>
                <c:pt idx="10">
                  <c:v>0</c:v>
                </c:pt>
              </c:numCache>
            </c:numRef>
          </c:val>
        </c:ser>
        <c:ser>
          <c:idx val="3"/>
          <c:order val="3"/>
          <c:tx>
            <c:strRef>
              <c:f>label 3</c:f>
              <c:strCache>
                <c:ptCount val="1"/>
                <c:pt idx="0">
                  <c:v>FOSZ</c:v>
                </c:pt>
              </c:strCache>
            </c:strRef>
          </c:tx>
          <c:spPr>
            <a:gradFill>
              <a:gsLst>
                <a:gs pos="0">
                  <a:srgbClr val="ffc54b"/>
                </a:gs>
                <a:gs pos="100000">
                  <a:srgbClr val="ffbf00"/>
                </a:gs>
              </a:gsLst>
              <a:lin ang="5400000"/>
            </a:gradFill>
            <a:ln>
              <a:noFill/>
            </a:ln>
          </c:spPr>
          <c:invertIfNegative val="0"/>
          <c:dLbls>
            <c:numFmt formatCode="General" sourceLinked="1"/>
            <c:txPr>
              <a:bodyPr/>
              <a:lstStyle/>
              <a:p>
                <a:pPr>
                  <a:defRPr b="0" sz="1000" spc="-1" strike="noStrike">
                    <a:solidFill>
                      <a:srgbClr val="000000"/>
                    </a:solidFill>
                    <a:latin typeface="Calibri"/>
                  </a:defRPr>
                </a:pPr>
              </a:p>
            </c:txPr>
            <c:dLblPos val="ctr"/>
            <c:showLegendKey val="0"/>
            <c:showVal val="0"/>
            <c:showCatName val="0"/>
            <c:showSerName val="0"/>
            <c:showPercent val="0"/>
            <c:showLeaderLines val="0"/>
          </c:dLbls>
          <c:cat>
            <c:strRef>
              <c:f>categories</c:f>
              <c:strCache>
                <c:ptCount val="11"/>
                <c:pt idx="0">
                  <c:v/>
                </c:pt>
                <c:pt idx="1">
                  <c:v/>
                </c:pt>
                <c:pt idx="2">
                  <c:v/>
                </c:pt>
                <c:pt idx="3">
                  <c:v/>
                </c:pt>
                <c:pt idx="4">
                  <c:v/>
                </c:pt>
                <c:pt idx="5">
                  <c:v/>
                </c:pt>
                <c:pt idx="6">
                  <c:v/>
                </c:pt>
                <c:pt idx="7">
                  <c:v/>
                </c:pt>
                <c:pt idx="8">
                  <c:v/>
                </c:pt>
                <c:pt idx="9">
                  <c:v/>
                </c:pt>
                <c:pt idx="10">
                  <c:v/>
                </c:pt>
              </c:strCache>
            </c:strRef>
          </c:cat>
          <c:val>
            <c:numRef>
              <c:f>3</c:f>
              <c:numCache>
                <c:formatCode>General</c:formatCode>
                <c:ptCount val="11"/>
                <c:pt idx="0">
                  <c:v>672</c:v>
                </c:pt>
                <c:pt idx="1">
                  <c:v>146</c:v>
                </c:pt>
                <c:pt idx="2">
                  <c:v>180</c:v>
                </c:pt>
                <c:pt idx="3">
                  <c:v>1027</c:v>
                </c:pt>
                <c:pt idx="4">
                  <c:v>219</c:v>
                </c:pt>
                <c:pt idx="5">
                  <c:v>252</c:v>
                </c:pt>
                <c:pt idx="6">
                  <c:v>1030</c:v>
                </c:pt>
                <c:pt idx="7">
                  <c:v>235</c:v>
                </c:pt>
                <c:pt idx="8">
                  <c:v>284</c:v>
                </c:pt>
                <c:pt idx="9">
                  <c:v>856</c:v>
                </c:pt>
                <c:pt idx="10">
                  <c:v>189</c:v>
                </c:pt>
              </c:numCache>
            </c:numRef>
          </c:val>
        </c:ser>
        <c:gapWidth val="150"/>
        <c:overlap val="100"/>
        <c:axId val="30636567"/>
        <c:axId val="54471453"/>
      </c:barChart>
      <c:catAx>
        <c:axId val="30636567"/>
        <c:scaling>
          <c:orientation val="minMax"/>
        </c:scaling>
        <c:delete val="0"/>
        <c:axPos val="b"/>
        <c:numFmt formatCode="YYYY\-MM\-DD" sourceLinked="1"/>
        <c:majorTickMark val="none"/>
        <c:minorTickMark val="none"/>
        <c:tickLblPos val="nextTo"/>
        <c:spPr>
          <a:ln w="9360">
            <a:solidFill>
              <a:srgbClr val="e0e5eb"/>
            </a:solidFill>
            <a:round/>
          </a:ln>
        </c:spPr>
        <c:txPr>
          <a:bodyPr/>
          <a:lstStyle/>
          <a:p>
            <a:pPr>
              <a:defRPr b="0" sz="900" spc="-1" strike="noStrike">
                <a:solidFill>
                  <a:srgbClr val="44546a"/>
                </a:solidFill>
                <a:latin typeface="Calibri"/>
              </a:defRPr>
            </a:pPr>
          </a:p>
        </c:txPr>
        <c:crossAx val="54471453"/>
        <c:crosses val="autoZero"/>
        <c:auto val="1"/>
        <c:lblAlgn val="ctr"/>
        <c:lblOffset val="100"/>
      </c:catAx>
      <c:valAx>
        <c:axId val="54471453"/>
        <c:scaling>
          <c:orientation val="minMax"/>
        </c:scaling>
        <c:delete val="0"/>
        <c:axPos val="l"/>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b="0" sz="900" spc="-1" strike="noStrike">
                <a:solidFill>
                  <a:srgbClr val="44546a"/>
                </a:solidFill>
                <a:latin typeface="Calibri"/>
              </a:defRPr>
            </a:pPr>
          </a:p>
        </c:txPr>
        <c:crossAx val="30636567"/>
        <c:crosses val="autoZero"/>
      </c:valAx>
      <c:spPr>
        <a:noFill/>
        <a:ln>
          <a:noFill/>
        </a:ln>
      </c:spPr>
    </c:plotArea>
    <c:legend>
      <c:legendPos val="b"/>
      <c:overlay val="0"/>
      <c:spPr>
        <a:noFill/>
        <a:ln>
          <a:noFill/>
        </a:ln>
      </c:spPr>
      <c:txPr>
        <a:bodyPr/>
        <a:lstStyle/>
        <a:p>
          <a:pPr>
            <a:defRPr b="0" sz="900" spc="-1" strike="noStrike">
              <a:solidFill>
                <a:srgbClr val="44546a"/>
              </a:solidFill>
              <a:latin typeface="Calibri"/>
            </a:defRPr>
          </a:pPr>
        </a:p>
      </c:txPr>
    </c:legend>
    <c:plotVisOnly val="1"/>
    <c:dispBlanksAs val="gap"/>
  </c:chart>
  <c:spPr>
    <a:solidFill>
      <a:srgbClr val="ffffff"/>
    </a:solidFill>
    <a:ln w="9360">
      <a:solidFill>
        <a:srgbClr val="e0e5eb"/>
      </a:solidFill>
      <a:round/>
    </a:ln>
  </c:spPr>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verPageProperties xmlns="http://schemas.microsoft.com/office/2006/coverPageProps">
  <PublishDate>2018. </PublishDate>
  <Abstract/>
  <CompanyAddress/>
  <CompanyPhone/>
  <CompanyFax/>
  <CompanyEmail/>
</CoverPageProperties>
</file>

<file path=customXml/itemProps1.xml><?xml version="1.0" encoding="utf-8"?>
<ds:datastoreItem xmlns:ds="http://schemas.openxmlformats.org/officeDocument/2006/customXml" ds:itemID="{8260CEF7-B41A-4DB9-ABDA-1BE5BDC3418B}">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Application>Collabora_Office/6.0.10.26$Linux_X86_64 LibreOffice_project/265e3fa0d81099719a911893569d53a7e5318988</Application>
  <Pages>46</Pages>
  <Words>9290</Words>
  <Characters>56506</Characters>
  <CharactersWithSpaces>64329</CharactersWithSpaces>
  <Paragraphs>1457</Paragraphs>
  <Company>Elemző Iroda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2018-08-28T07:02:00Z</dcterms:created>
  <dc:creator>Eszterházy Károly Egyetem – Oktatási Igazgatóság</dc:creator>
  <dc:description/>
  <dc:language>hu-HU</dc:language>
  <cp:lastModifiedBy/>
  <dcterms:modified xsi:type="dcterms:W3CDTF">2019-03-21T15:28:43Z</dcterms:modified>
  <cp:revision>11</cp:revision>
  <dc:subject>2015-2018 között</dc:subject>
  <dc:title>Az Eszterházy Károly Egyetem felvételi adatainak elemzése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Elemző Iroda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